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205" w:rsidRPr="00ED3B1C" w:rsidRDefault="00B45AC2" w:rsidP="002903CD">
      <w:pPr>
        <w:pStyle w:val="Title"/>
        <w:rPr>
          <w:rtl/>
        </w:rPr>
      </w:pPr>
      <w:r w:rsidRPr="00ED3B1C">
        <w:rPr>
          <w:rFonts w:hint="cs"/>
          <w:rtl/>
        </w:rPr>
        <w:t xml:space="preserve">الأداء الاقتصادي للعام </w:t>
      </w:r>
      <w:r w:rsidR="002903CD" w:rsidRPr="00ED3B1C">
        <w:rPr>
          <w:rFonts w:hint="cs"/>
          <w:rtl/>
        </w:rPr>
        <w:t>2011</w:t>
      </w:r>
    </w:p>
    <w:p w:rsidR="00F63205" w:rsidRPr="00ED3B1C" w:rsidRDefault="00B45AC2" w:rsidP="00BD3519">
      <w:pPr>
        <w:spacing w:before="240" w:after="240"/>
        <w:jc w:val="lowKashida"/>
        <w:rPr>
          <w:rFonts w:cs="Simplified Arabic"/>
          <w:b/>
          <w:bCs/>
          <w:rtl/>
        </w:rPr>
      </w:pPr>
      <w:r w:rsidRPr="00ED3B1C">
        <w:rPr>
          <w:rFonts w:cs="Simplified Arabic" w:hint="cs"/>
          <w:b/>
          <w:bCs/>
          <w:rtl/>
        </w:rPr>
        <w:t>1- الناتج المحلي الإجمالي</w:t>
      </w:r>
      <w:r w:rsidR="00BD3519">
        <w:rPr>
          <w:rStyle w:val="FootnoteReference"/>
          <w:rtl/>
        </w:rPr>
        <w:footnoteReference w:id="1"/>
      </w:r>
      <w:r w:rsidRPr="00ED3B1C">
        <w:rPr>
          <w:rFonts w:cs="Simplified Arabic" w:hint="cs"/>
          <w:b/>
          <w:bCs/>
          <w:rtl/>
        </w:rPr>
        <w:t>:</w:t>
      </w:r>
    </w:p>
    <w:p w:rsidR="002D7F06" w:rsidRDefault="005A7BD8" w:rsidP="00183262">
      <w:pPr>
        <w:spacing w:before="240" w:after="200"/>
        <w:jc w:val="lowKashida"/>
        <w:rPr>
          <w:rFonts w:cs="Simplified Arabic"/>
          <w:rtl/>
        </w:rPr>
      </w:pPr>
      <w:r w:rsidRPr="002D7F06">
        <w:rPr>
          <w:rFonts w:cs="Simplified Arabic" w:hint="cs"/>
          <w:b/>
          <w:bCs/>
          <w:rtl/>
        </w:rPr>
        <w:t>شهد</w:t>
      </w:r>
      <w:r w:rsidR="00B45AC2" w:rsidRPr="002D7F06">
        <w:rPr>
          <w:rFonts w:cs="Simplified Arabic" w:hint="cs"/>
          <w:b/>
          <w:bCs/>
          <w:rtl/>
        </w:rPr>
        <w:t xml:space="preserve"> الناتج المحلي الإجمالي </w:t>
      </w:r>
      <w:r w:rsidRPr="002D7F06">
        <w:rPr>
          <w:rFonts w:cs="Simplified Arabic" w:hint="cs"/>
          <w:b/>
          <w:bCs/>
          <w:rtl/>
        </w:rPr>
        <w:t>في الأراضي الفلسطينية نمو</w:t>
      </w:r>
      <w:r w:rsidR="00183262">
        <w:rPr>
          <w:rFonts w:cs="Simplified Arabic" w:hint="cs"/>
          <w:b/>
          <w:bCs/>
          <w:rtl/>
        </w:rPr>
        <w:t>اً</w:t>
      </w:r>
      <w:r w:rsidRPr="002D7F06">
        <w:rPr>
          <w:rFonts w:cs="Simplified Arabic" w:hint="cs"/>
          <w:b/>
          <w:bCs/>
          <w:rtl/>
        </w:rPr>
        <w:t xml:space="preserve"> ملحوظ</w:t>
      </w:r>
      <w:r w:rsidR="00183262">
        <w:rPr>
          <w:rFonts w:cs="Simplified Arabic" w:hint="cs"/>
          <w:b/>
          <w:bCs/>
          <w:rtl/>
        </w:rPr>
        <w:t>اً</w:t>
      </w:r>
      <w:r w:rsidRPr="002D7F06">
        <w:rPr>
          <w:rFonts w:cs="Simplified Arabic" w:hint="cs"/>
          <w:b/>
          <w:bCs/>
          <w:rtl/>
        </w:rPr>
        <w:t xml:space="preserve"> خلال العام 2011 بلغ 9.9%</w:t>
      </w:r>
      <w:r w:rsidR="009D2B12">
        <w:rPr>
          <w:rFonts w:cs="Simplified Arabic" w:hint="cs"/>
          <w:rtl/>
        </w:rPr>
        <w:t>.</w:t>
      </w:r>
      <w:r>
        <w:rPr>
          <w:rFonts w:cs="Simplified Arabic" w:hint="cs"/>
          <w:rtl/>
        </w:rPr>
        <w:t xml:space="preserve"> </w:t>
      </w:r>
      <w:r w:rsidR="00615480">
        <w:rPr>
          <w:rFonts w:cs="Simplified Arabic" w:hint="cs"/>
          <w:rtl/>
        </w:rPr>
        <w:t>وكان الاقتصاد الفلسطيني قد شهد تذبذبا كبيرا خلال السنوات الماضية، خصوصا الفترة التي أعقبت الانتفاضة الثانية، حيث تراجع الاقتصاد خلال السنوات 2000-2002، وبدأ بالتحسن في الفترة 2</w:t>
      </w:r>
      <w:r w:rsidR="009D2B12">
        <w:rPr>
          <w:rFonts w:cs="Simplified Arabic" w:hint="cs"/>
          <w:rtl/>
        </w:rPr>
        <w:t>0</w:t>
      </w:r>
      <w:r w:rsidR="00615480">
        <w:rPr>
          <w:rFonts w:cs="Simplified Arabic" w:hint="cs"/>
          <w:rtl/>
        </w:rPr>
        <w:t xml:space="preserve">03-2005 قبل أن يتراجع مرة أخرى عام 2006 بسبب الأوضاع السياسية خلال تلك الفترة، وما نجم عن ذلك من </w:t>
      </w:r>
      <w:r w:rsidR="00615480" w:rsidRPr="00ED3B1C">
        <w:rPr>
          <w:rFonts w:cs="Simplified Arabic" w:hint="cs"/>
          <w:rtl/>
        </w:rPr>
        <w:t xml:space="preserve">توقف لرواتب الموظفين البالغ عددهم حوالي 160 ألف موظف. </w:t>
      </w:r>
      <w:r w:rsidR="00615480">
        <w:rPr>
          <w:rFonts w:cs="Simplified Arabic" w:hint="cs"/>
          <w:rtl/>
        </w:rPr>
        <w:t>وقد بدأ الاقتصاد الفلسطيني بالانتعاش مرة ثانية ابتداء من العام 2007، وارتفعت معدلا</w:t>
      </w:r>
      <w:r w:rsidR="002D7F06">
        <w:rPr>
          <w:rFonts w:cs="Simplified Arabic" w:hint="cs"/>
          <w:rtl/>
        </w:rPr>
        <w:t>ت</w:t>
      </w:r>
      <w:r w:rsidR="00615480">
        <w:rPr>
          <w:rFonts w:cs="Simplified Arabic" w:hint="cs"/>
          <w:rtl/>
        </w:rPr>
        <w:t xml:space="preserve"> النمو حتى بل</w:t>
      </w:r>
      <w:r w:rsidR="002D7F06">
        <w:rPr>
          <w:rFonts w:cs="Simplified Arabic" w:hint="cs"/>
          <w:rtl/>
        </w:rPr>
        <w:t>غت ذروتها خلال العام 2011 حين وصلت 9.9</w:t>
      </w:r>
      <w:r w:rsidR="00615480">
        <w:rPr>
          <w:rFonts w:cs="Simplified Arabic" w:hint="cs"/>
          <w:rtl/>
        </w:rPr>
        <w:t>%.</w:t>
      </w:r>
    </w:p>
    <w:p w:rsidR="002D7F06" w:rsidRPr="00543076" w:rsidRDefault="002D7F06" w:rsidP="00211679">
      <w:pPr>
        <w:spacing w:before="240" w:after="200"/>
        <w:jc w:val="lowKashida"/>
        <w:rPr>
          <w:rFonts w:ascii="Simplified Arabic" w:hAnsi="Simplified Arabic" w:cs="Simplified Arabic"/>
          <w:sz w:val="26"/>
          <w:szCs w:val="26"/>
          <w:rtl/>
        </w:rPr>
      </w:pPr>
      <w:r w:rsidRPr="002D7F06">
        <w:rPr>
          <w:rFonts w:cs="Simplified Arabic" w:hint="cs"/>
          <w:b/>
          <w:bCs/>
          <w:rtl/>
        </w:rPr>
        <w:t>ويعزى النمو المرتفع في الأراضي الفلسطينية خلال العام 2011 إلى ارتفاع نسبة النمو في قطاع غزة، والذي بلغ 23</w:t>
      </w:r>
      <w:r w:rsidR="009D2B12">
        <w:rPr>
          <w:rFonts w:cs="Simplified Arabic" w:hint="cs"/>
          <w:b/>
          <w:bCs/>
          <w:rtl/>
        </w:rPr>
        <w:t>.0</w:t>
      </w:r>
      <w:r w:rsidRPr="002D7F06">
        <w:rPr>
          <w:rFonts w:cs="Simplified Arabic" w:hint="cs"/>
          <w:b/>
          <w:bCs/>
          <w:rtl/>
        </w:rPr>
        <w:t>% مقارنة مع 5.2% في الضفة الغربية.</w:t>
      </w:r>
      <w:r>
        <w:rPr>
          <w:rFonts w:cs="Simplified Arabic" w:hint="cs"/>
          <w:rtl/>
        </w:rPr>
        <w:t xml:space="preserve"> ويأتي هذا النمو المرتفع في قطاع غزة </w:t>
      </w:r>
      <w:r w:rsidR="00B305EA">
        <w:rPr>
          <w:rFonts w:cs="Simplified Arabic" w:hint="cs"/>
          <w:rtl/>
        </w:rPr>
        <w:t xml:space="preserve">خلال عامي 2010-2011 </w:t>
      </w:r>
      <w:r>
        <w:rPr>
          <w:rFonts w:cs="Simplified Arabic" w:hint="cs"/>
          <w:rtl/>
        </w:rPr>
        <w:t xml:space="preserve">نتيجة </w:t>
      </w:r>
      <w:r w:rsidR="00B305EA">
        <w:rPr>
          <w:rFonts w:cs="Simplified Arabic" w:hint="cs"/>
          <w:rtl/>
        </w:rPr>
        <w:t xml:space="preserve">مجموعة من العوامل من بينها </w:t>
      </w:r>
      <w:r w:rsidR="00B305EA" w:rsidRPr="00543076">
        <w:rPr>
          <w:rFonts w:ascii="Simplified Arabic" w:hAnsi="Simplified Arabic" w:cs="Simplified Arabic"/>
          <w:sz w:val="26"/>
          <w:szCs w:val="26"/>
          <w:rtl/>
        </w:rPr>
        <w:t xml:space="preserve">طفرة الإنشاءات الممولة </w:t>
      </w:r>
      <w:r w:rsidR="00B305EA">
        <w:rPr>
          <w:rFonts w:ascii="Simplified Arabic" w:hAnsi="Simplified Arabic" w:cs="Simplified Arabic" w:hint="cs"/>
          <w:sz w:val="26"/>
          <w:szCs w:val="26"/>
          <w:rtl/>
        </w:rPr>
        <w:t>في معظمها</w:t>
      </w:r>
      <w:r w:rsidR="00B305EA" w:rsidRPr="00543076">
        <w:rPr>
          <w:rFonts w:ascii="Simplified Arabic" w:hAnsi="Simplified Arabic" w:cs="Simplified Arabic"/>
          <w:sz w:val="26"/>
          <w:szCs w:val="26"/>
          <w:rtl/>
        </w:rPr>
        <w:t xml:space="preserve"> من المعونات والمساعدات الخارجية</w:t>
      </w:r>
      <w:r w:rsidR="00B305EA">
        <w:rPr>
          <w:rFonts w:ascii="Simplified Arabic" w:hAnsi="Simplified Arabic" w:cs="Simplified Arabic" w:hint="cs"/>
          <w:sz w:val="26"/>
          <w:szCs w:val="26"/>
          <w:rtl/>
        </w:rPr>
        <w:t>،</w:t>
      </w:r>
      <w:r w:rsidR="00B305EA" w:rsidRPr="00543076">
        <w:rPr>
          <w:rFonts w:ascii="Simplified Arabic" w:hAnsi="Simplified Arabic" w:cs="Simplified Arabic"/>
          <w:sz w:val="26"/>
          <w:szCs w:val="26"/>
          <w:rtl/>
        </w:rPr>
        <w:t xml:space="preserve"> </w:t>
      </w:r>
      <w:r w:rsidR="00B305EA">
        <w:rPr>
          <w:rFonts w:ascii="Simplified Arabic" w:hAnsi="Simplified Arabic" w:cs="Simplified Arabic" w:hint="cs"/>
          <w:sz w:val="26"/>
          <w:szCs w:val="26"/>
          <w:rtl/>
        </w:rPr>
        <w:t xml:space="preserve">وتخفيف </w:t>
      </w:r>
      <w:r w:rsidR="00B305EA" w:rsidRPr="00543076">
        <w:rPr>
          <w:rFonts w:ascii="Simplified Arabic" w:hAnsi="Simplified Arabic" w:cs="Simplified Arabic"/>
          <w:sz w:val="26"/>
          <w:szCs w:val="26"/>
          <w:rtl/>
        </w:rPr>
        <w:t xml:space="preserve">القيود التي تفرضها إسرائيل على دخول بعض المواد الخام وبعض مواد البناء إلى القطاع، </w:t>
      </w:r>
      <w:r w:rsidR="00B305EA">
        <w:rPr>
          <w:rFonts w:ascii="Simplified Arabic" w:hAnsi="Simplified Arabic" w:cs="Simplified Arabic" w:hint="cs"/>
          <w:sz w:val="26"/>
          <w:szCs w:val="26"/>
          <w:rtl/>
        </w:rPr>
        <w:t>و</w:t>
      </w:r>
      <w:r w:rsidR="00B305EA" w:rsidRPr="00543076">
        <w:rPr>
          <w:rFonts w:ascii="Simplified Arabic" w:hAnsi="Simplified Arabic" w:cs="Simplified Arabic"/>
          <w:sz w:val="26"/>
          <w:szCs w:val="26"/>
          <w:rtl/>
        </w:rPr>
        <w:t>ز</w:t>
      </w:r>
      <w:r w:rsidR="00B305EA">
        <w:rPr>
          <w:rFonts w:ascii="Simplified Arabic" w:hAnsi="Simplified Arabic" w:cs="Simplified Arabic"/>
          <w:sz w:val="26"/>
          <w:szCs w:val="26"/>
          <w:rtl/>
        </w:rPr>
        <w:t>يادة التجارة عبر الأنفاق مع مصر</w:t>
      </w:r>
      <w:r w:rsidR="00B305EA">
        <w:rPr>
          <w:rFonts w:ascii="Simplified Arabic" w:hAnsi="Simplified Arabic" w:cs="Simplified Arabic" w:hint="cs"/>
          <w:sz w:val="26"/>
          <w:szCs w:val="26"/>
          <w:rtl/>
        </w:rPr>
        <w:t xml:space="preserve">. وبشكل خاص، تبدو </w:t>
      </w:r>
      <w:r w:rsidRPr="00543076">
        <w:rPr>
          <w:rFonts w:ascii="Simplified Arabic" w:hAnsi="Simplified Arabic" w:cs="Simplified Arabic" w:hint="cs"/>
          <w:sz w:val="26"/>
          <w:szCs w:val="26"/>
          <w:rtl/>
        </w:rPr>
        <w:t>معدلات</w:t>
      </w:r>
      <w:r w:rsidRPr="00543076">
        <w:rPr>
          <w:rFonts w:ascii="Simplified Arabic" w:hAnsi="Simplified Arabic" w:cs="Simplified Arabic"/>
          <w:sz w:val="26"/>
          <w:szCs w:val="26"/>
          <w:rtl/>
        </w:rPr>
        <w:t xml:space="preserve"> النمو</w:t>
      </w:r>
      <w:r w:rsidRPr="00543076">
        <w:rPr>
          <w:rFonts w:ascii="Simplified Arabic" w:hAnsi="Simplified Arabic" w:cs="Simplified Arabic" w:hint="cs"/>
          <w:sz w:val="26"/>
          <w:szCs w:val="26"/>
          <w:rtl/>
        </w:rPr>
        <w:t xml:space="preserve"> </w:t>
      </w:r>
      <w:r w:rsidR="00B305EA">
        <w:rPr>
          <w:rFonts w:ascii="Simplified Arabic" w:hAnsi="Simplified Arabic" w:cs="Simplified Arabic" w:hint="cs"/>
          <w:sz w:val="26"/>
          <w:szCs w:val="26"/>
          <w:rtl/>
        </w:rPr>
        <w:t xml:space="preserve">في قطاع غزة </w:t>
      </w:r>
      <w:r w:rsidRPr="00543076">
        <w:rPr>
          <w:rFonts w:ascii="Simplified Arabic" w:hAnsi="Simplified Arabic" w:cs="Simplified Arabic"/>
          <w:sz w:val="26"/>
          <w:szCs w:val="26"/>
          <w:rtl/>
        </w:rPr>
        <w:t>مرتفع</w:t>
      </w:r>
      <w:r w:rsidRPr="00543076">
        <w:rPr>
          <w:rFonts w:ascii="Simplified Arabic" w:hAnsi="Simplified Arabic" w:cs="Simplified Arabic" w:hint="cs"/>
          <w:sz w:val="26"/>
          <w:szCs w:val="26"/>
          <w:rtl/>
        </w:rPr>
        <w:t>ة</w:t>
      </w:r>
      <w:r w:rsidRPr="00543076">
        <w:rPr>
          <w:rFonts w:ascii="Simplified Arabic" w:hAnsi="Simplified Arabic" w:cs="Simplified Arabic"/>
          <w:sz w:val="26"/>
          <w:szCs w:val="26"/>
          <w:rtl/>
        </w:rPr>
        <w:t xml:space="preserve"> </w:t>
      </w:r>
      <w:r w:rsidRPr="00543076">
        <w:rPr>
          <w:rFonts w:ascii="Simplified Arabic" w:hAnsi="Simplified Arabic" w:cs="Simplified Arabic" w:hint="cs"/>
          <w:sz w:val="26"/>
          <w:szCs w:val="26"/>
          <w:rtl/>
        </w:rPr>
        <w:t xml:space="preserve">خلال العام </w:t>
      </w:r>
      <w:r w:rsidR="00B305EA">
        <w:rPr>
          <w:rFonts w:ascii="Simplified Arabic" w:hAnsi="Simplified Arabic" w:cs="Simplified Arabic" w:hint="cs"/>
          <w:sz w:val="26"/>
          <w:szCs w:val="26"/>
          <w:rtl/>
        </w:rPr>
        <w:t>2011</w:t>
      </w:r>
      <w:r w:rsidRPr="00543076">
        <w:rPr>
          <w:rFonts w:ascii="Simplified Arabic" w:hAnsi="Simplified Arabic" w:cs="Simplified Arabic" w:hint="cs"/>
          <w:sz w:val="26"/>
          <w:szCs w:val="26"/>
          <w:rtl/>
        </w:rPr>
        <w:t xml:space="preserve"> والعام الذي سبقه </w:t>
      </w:r>
      <w:r w:rsidR="00B305EA">
        <w:rPr>
          <w:rFonts w:ascii="Simplified Arabic" w:hAnsi="Simplified Arabic" w:cs="Simplified Arabic" w:hint="cs"/>
          <w:sz w:val="26"/>
          <w:szCs w:val="26"/>
          <w:rtl/>
        </w:rPr>
        <w:t>نتيجة مقارنتها مع سنوات سابقة شهد</w:t>
      </w:r>
      <w:r w:rsidR="00211679">
        <w:rPr>
          <w:rFonts w:ascii="Simplified Arabic" w:hAnsi="Simplified Arabic" w:cs="Simplified Arabic" w:hint="cs"/>
          <w:sz w:val="26"/>
          <w:szCs w:val="26"/>
          <w:rtl/>
        </w:rPr>
        <w:t xml:space="preserve">ت </w:t>
      </w:r>
      <w:r w:rsidRPr="00543076">
        <w:rPr>
          <w:rFonts w:ascii="Simplified Arabic" w:hAnsi="Simplified Arabic" w:cs="Simplified Arabic"/>
          <w:sz w:val="26"/>
          <w:szCs w:val="26"/>
          <w:rtl/>
        </w:rPr>
        <w:t>تدهور</w:t>
      </w:r>
      <w:r w:rsidR="00B305EA">
        <w:rPr>
          <w:rFonts w:ascii="Simplified Arabic" w:hAnsi="Simplified Arabic" w:cs="Simplified Arabic" w:hint="cs"/>
          <w:sz w:val="26"/>
          <w:szCs w:val="26"/>
          <w:rtl/>
        </w:rPr>
        <w:t>ا كبيرا في</w:t>
      </w:r>
      <w:r w:rsidRPr="00543076">
        <w:rPr>
          <w:rFonts w:ascii="Simplified Arabic" w:hAnsi="Simplified Arabic" w:cs="Simplified Arabic"/>
          <w:sz w:val="26"/>
          <w:szCs w:val="26"/>
          <w:rtl/>
        </w:rPr>
        <w:t xml:space="preserve"> أداء الاقتصاد الغزي خلال الفترة </w:t>
      </w:r>
      <w:proofErr w:type="spellStart"/>
      <w:r w:rsidRPr="00543076">
        <w:rPr>
          <w:rFonts w:ascii="Simplified Arabic" w:hAnsi="Simplified Arabic" w:cs="Simplified Arabic"/>
          <w:sz w:val="26"/>
          <w:szCs w:val="26"/>
          <w:rtl/>
        </w:rPr>
        <w:t>2006-</w:t>
      </w:r>
      <w:proofErr w:type="spellEnd"/>
      <w:r w:rsidRPr="00543076">
        <w:rPr>
          <w:rFonts w:ascii="Simplified Arabic" w:hAnsi="Simplified Arabic" w:cs="Simplified Arabic" w:hint="cs"/>
          <w:sz w:val="26"/>
          <w:szCs w:val="26"/>
          <w:rtl/>
        </w:rPr>
        <w:t xml:space="preserve"> </w:t>
      </w:r>
      <w:r w:rsidRPr="00543076">
        <w:rPr>
          <w:rFonts w:ascii="Simplified Arabic" w:hAnsi="Simplified Arabic" w:cs="Simplified Arabic"/>
          <w:sz w:val="26"/>
          <w:szCs w:val="26"/>
          <w:rtl/>
        </w:rPr>
        <w:t xml:space="preserve">2009 بسبب </w:t>
      </w:r>
      <w:r w:rsidR="00B305EA" w:rsidRPr="00543076">
        <w:rPr>
          <w:rFonts w:ascii="Simplified Arabic" w:hAnsi="Simplified Arabic" w:cs="Simplified Arabic"/>
          <w:sz w:val="26"/>
          <w:szCs w:val="26"/>
          <w:rtl/>
        </w:rPr>
        <w:t>العدوان الإسرائيلي والحصار المستمر على القطاع</w:t>
      </w:r>
      <w:r w:rsidRPr="00543076">
        <w:rPr>
          <w:rFonts w:ascii="Simplified Arabic" w:hAnsi="Simplified Arabic" w:cs="Simplified Arabic"/>
          <w:sz w:val="26"/>
          <w:szCs w:val="26"/>
          <w:rtl/>
        </w:rPr>
        <w:t>.</w:t>
      </w:r>
    </w:p>
    <w:p w:rsidR="00F63205" w:rsidRPr="00ED3B1C" w:rsidRDefault="00B305EA" w:rsidP="00183262">
      <w:pPr>
        <w:spacing w:before="240" w:after="200"/>
        <w:jc w:val="lowKashida"/>
        <w:rPr>
          <w:rFonts w:cs="Simplified Arabic"/>
          <w:rtl/>
        </w:rPr>
      </w:pPr>
      <w:r w:rsidRPr="00E10A6A">
        <w:rPr>
          <w:rFonts w:cs="Simplified Arabic" w:hint="cs"/>
          <w:b/>
          <w:bCs/>
          <w:rtl/>
        </w:rPr>
        <w:t xml:space="preserve">وبالرغم من الارتفاع الكبير في معدلات النمو في قطاع غزة خلال السنتين الماضيتين، فإن </w:t>
      </w:r>
      <w:r w:rsidR="00E10A6A" w:rsidRPr="00E10A6A">
        <w:rPr>
          <w:rFonts w:cs="Simplified Arabic" w:hint="cs"/>
          <w:b/>
          <w:bCs/>
          <w:rtl/>
        </w:rPr>
        <w:t xml:space="preserve">مساهمة القطاع في الناتج المحلي قد انخفضت إلى أقل من </w:t>
      </w:r>
      <w:r w:rsidR="009D2B12">
        <w:rPr>
          <w:rFonts w:cs="Simplified Arabic" w:hint="cs"/>
          <w:b/>
          <w:bCs/>
          <w:rtl/>
        </w:rPr>
        <w:t>30.0</w:t>
      </w:r>
      <w:r w:rsidR="00E10A6A" w:rsidRPr="00E10A6A">
        <w:rPr>
          <w:rFonts w:cs="Simplified Arabic" w:hint="cs"/>
          <w:b/>
          <w:bCs/>
          <w:rtl/>
        </w:rPr>
        <w:t>% من الناتج المحلي للأراضي الفلسطينية</w:t>
      </w:r>
      <w:r w:rsidR="000242DA">
        <w:rPr>
          <w:rFonts w:cs="Simplified Arabic" w:hint="cs"/>
          <w:b/>
          <w:bCs/>
          <w:rtl/>
        </w:rPr>
        <w:t xml:space="preserve"> عام 2011</w:t>
      </w:r>
      <w:r w:rsidR="00E10A6A" w:rsidRPr="00E10A6A">
        <w:rPr>
          <w:rFonts w:cs="Simplified Arabic" w:hint="cs"/>
          <w:b/>
          <w:bCs/>
          <w:rtl/>
        </w:rPr>
        <w:t>.</w:t>
      </w:r>
      <w:r w:rsidR="00183262">
        <w:rPr>
          <w:rFonts w:cs="Simplified Arabic" w:hint="cs"/>
          <w:rtl/>
        </w:rPr>
        <w:t xml:space="preserve"> فكما يتضح من الشكل</w:t>
      </w:r>
      <w:r w:rsidR="00E10A6A">
        <w:rPr>
          <w:rFonts w:cs="Simplified Arabic" w:hint="cs"/>
          <w:rtl/>
        </w:rPr>
        <w:t>1، فقد بلغ الناتج المحلي الإجمالي لقطاع غزة حوالي 1.85 مليار دولار عام 2011، تمثل 29.3% من إجمالي الناتج المحلي للأراضي الفلسطينية البالغ 6.32 مليار، وهي أقل من نسبة 33.1% التي كانت عام 2004، ما يعني أن نسبة النمو خلال إجمالي الفترة كانت أعلى في الضفة الغربية منها في قطاع غزة.</w:t>
      </w:r>
    </w:p>
    <w:p w:rsidR="00F63205" w:rsidRPr="00ED3B1C" w:rsidRDefault="00B45AC2" w:rsidP="00CF02CC">
      <w:pPr>
        <w:jc w:val="center"/>
        <w:rPr>
          <w:rFonts w:cs="Simplified Arabic"/>
          <w:b/>
          <w:bCs/>
          <w:sz w:val="22"/>
          <w:szCs w:val="22"/>
          <w:rtl/>
        </w:rPr>
      </w:pPr>
      <w:r w:rsidRPr="00ED3B1C">
        <w:rPr>
          <w:rFonts w:cs="Simplified Arabic" w:hint="cs"/>
          <w:b/>
          <w:bCs/>
          <w:sz w:val="22"/>
          <w:szCs w:val="22"/>
          <w:rtl/>
        </w:rPr>
        <w:t>شكل</w:t>
      </w:r>
      <w:r w:rsidR="00CF02CC">
        <w:rPr>
          <w:rFonts w:cs="Simplified Arabic" w:hint="cs"/>
          <w:b/>
          <w:bCs/>
          <w:sz w:val="22"/>
          <w:szCs w:val="22"/>
          <w:rtl/>
        </w:rPr>
        <w:t xml:space="preserve"> 1</w:t>
      </w:r>
      <w:r w:rsidRPr="00ED3B1C">
        <w:rPr>
          <w:rFonts w:cs="Simplified Arabic" w:hint="cs"/>
          <w:b/>
          <w:bCs/>
          <w:sz w:val="22"/>
          <w:szCs w:val="22"/>
          <w:rtl/>
        </w:rPr>
        <w:t>: الناتج المحلي الإجمالي بالأسعار الثابتة</w:t>
      </w:r>
      <w:r w:rsidR="00F21D27">
        <w:rPr>
          <w:rFonts w:cs="Simplified Arabic" w:hint="cs"/>
          <w:b/>
          <w:bCs/>
          <w:sz w:val="22"/>
          <w:szCs w:val="22"/>
          <w:rtl/>
        </w:rPr>
        <w:t xml:space="preserve"> في الأراضي الفلسطينية</w:t>
      </w:r>
      <w:r w:rsidR="00BA5378">
        <w:rPr>
          <w:rFonts w:cs="Simplified Arabic" w:hint="cs"/>
          <w:b/>
          <w:bCs/>
          <w:sz w:val="22"/>
          <w:szCs w:val="22"/>
          <w:rtl/>
        </w:rPr>
        <w:t>،</w:t>
      </w:r>
      <w:r w:rsidRPr="00ED3B1C">
        <w:rPr>
          <w:rFonts w:cs="Simplified Arabic" w:hint="cs"/>
          <w:b/>
          <w:bCs/>
          <w:sz w:val="22"/>
          <w:szCs w:val="22"/>
          <w:rtl/>
        </w:rPr>
        <w:t xml:space="preserve"> (2004-201</w:t>
      </w:r>
      <w:r w:rsidR="00BB2D75" w:rsidRPr="00ED3B1C">
        <w:rPr>
          <w:rFonts w:cs="Simplified Arabic" w:hint="cs"/>
          <w:b/>
          <w:bCs/>
          <w:sz w:val="22"/>
          <w:szCs w:val="22"/>
          <w:rtl/>
        </w:rPr>
        <w:t>1</w:t>
      </w:r>
      <w:r w:rsidRPr="00ED3B1C">
        <w:rPr>
          <w:rFonts w:cs="Simplified Arabic" w:hint="cs"/>
          <w:b/>
          <w:bCs/>
          <w:sz w:val="22"/>
          <w:szCs w:val="22"/>
          <w:rtl/>
        </w:rPr>
        <w:t>)</w:t>
      </w:r>
    </w:p>
    <w:p w:rsidR="00F63205" w:rsidRPr="00ED3B1C" w:rsidRDefault="00265E1A" w:rsidP="00C37A1F">
      <w:pPr>
        <w:spacing w:after="120"/>
        <w:jc w:val="center"/>
        <w:rPr>
          <w:rFonts w:cs="Simplified Arabic"/>
          <w:rtl/>
        </w:rPr>
      </w:pPr>
      <w:r w:rsidRPr="00ED3B1C">
        <w:rPr>
          <w:noProof/>
          <w:lang w:eastAsia="en-US"/>
        </w:rPr>
        <w:drawing>
          <wp:inline distT="0" distB="0" distL="0" distR="0">
            <wp:extent cx="4848225" cy="2390775"/>
            <wp:effectExtent l="19050" t="0" r="9525"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D3519" w:rsidRPr="00ED2C33" w:rsidRDefault="00BD3519" w:rsidP="008117BF">
      <w:pPr>
        <w:spacing w:before="240" w:after="200"/>
        <w:jc w:val="lowKashida"/>
        <w:rPr>
          <w:rFonts w:cs="Simplified Arabic"/>
          <w:b/>
          <w:bCs/>
          <w:rtl/>
        </w:rPr>
      </w:pPr>
      <w:r w:rsidRPr="006476D8">
        <w:rPr>
          <w:rFonts w:cs="Simplified Arabic" w:hint="cs"/>
          <w:b/>
          <w:bCs/>
          <w:rtl/>
        </w:rPr>
        <w:lastRenderedPageBreak/>
        <w:t>ارتفع</w:t>
      </w:r>
      <w:r w:rsidR="00530D11" w:rsidRPr="006476D8">
        <w:rPr>
          <w:rFonts w:cs="Simplified Arabic" w:hint="cs"/>
          <w:b/>
          <w:bCs/>
          <w:rtl/>
        </w:rPr>
        <w:t xml:space="preserve"> نصيب الفرد من الناتج المحلي الإجمالي خلال العام 2011 بنسبة 6.6% مقارنة مع العام 2010 حيث بلغ  1,609.6 دولار.</w:t>
      </w:r>
      <w:r w:rsidRPr="00ED2C33">
        <w:rPr>
          <w:rFonts w:cs="Simplified Arabic" w:hint="cs"/>
          <w:b/>
          <w:bCs/>
          <w:rtl/>
        </w:rPr>
        <w:t xml:space="preserve"> </w:t>
      </w:r>
      <w:r w:rsidR="006476D8" w:rsidRPr="00FD3AB5">
        <w:rPr>
          <w:rFonts w:cs="Simplified Arabic" w:hint="cs"/>
          <w:rtl/>
        </w:rPr>
        <w:t>و</w:t>
      </w:r>
      <w:r w:rsidRPr="00FD3AB5">
        <w:rPr>
          <w:rFonts w:cs="Simplified Arabic" w:hint="cs"/>
          <w:rtl/>
        </w:rPr>
        <w:t xml:space="preserve">يعتبر نصيب الفرد من الناتج المحلي الإجمالي من المؤشرات الهامة التي تقيس مستوى معيشة الأفراد </w:t>
      </w:r>
      <w:r w:rsidR="006476D8" w:rsidRPr="00FD3AB5">
        <w:rPr>
          <w:rFonts w:cs="Simplified Arabic" w:hint="cs"/>
          <w:rtl/>
        </w:rPr>
        <w:t>لأنه يأخذ بالاعتبار التغير في عدد السكان خلال فترة المقارنة. وكما يتضح من جدول 1، فقد استمر نصيب الفرد بالارتفاع منذ عام 2007 بشكل مضطرد</w:t>
      </w:r>
      <w:r w:rsidR="00924F8A" w:rsidRPr="00FD3AB5">
        <w:rPr>
          <w:rFonts w:cs="Simplified Arabic" w:hint="cs"/>
          <w:rtl/>
        </w:rPr>
        <w:t xml:space="preserve"> نظرا لارتفاع معدلات النمو في الناتج المحلي الإجمالي بنسبة تفوق معدلات النمو السكاني خلال هذه القترة</w:t>
      </w:r>
      <w:r w:rsidR="006476D8" w:rsidRPr="00FD3AB5">
        <w:rPr>
          <w:rFonts w:cs="Simplified Arabic" w:hint="cs"/>
          <w:rtl/>
        </w:rPr>
        <w:t>.</w:t>
      </w:r>
      <w:r w:rsidR="006476D8" w:rsidRPr="00ED2C33">
        <w:rPr>
          <w:rFonts w:cs="Simplified Arabic" w:hint="cs"/>
          <w:b/>
          <w:bCs/>
          <w:rtl/>
        </w:rPr>
        <w:t xml:space="preserve"> </w:t>
      </w:r>
    </w:p>
    <w:p w:rsidR="00BD3519" w:rsidRPr="004F33D8" w:rsidRDefault="00BD3519" w:rsidP="00BD3519">
      <w:pPr>
        <w:jc w:val="lowKashida"/>
        <w:rPr>
          <w:rFonts w:ascii="Arial" w:hAnsi="Arial" w:cs="Simplified Arabic"/>
          <w:rtl/>
          <w:lang w:eastAsia="en-US"/>
        </w:rPr>
      </w:pPr>
    </w:p>
    <w:p w:rsidR="00BD3519" w:rsidRPr="004F33D8" w:rsidRDefault="00BD3519" w:rsidP="00715084">
      <w:pPr>
        <w:jc w:val="center"/>
        <w:rPr>
          <w:rFonts w:cs="Simplified Arabic"/>
          <w:b/>
          <w:bCs/>
          <w:sz w:val="22"/>
          <w:szCs w:val="22"/>
          <w:rtl/>
        </w:rPr>
      </w:pPr>
      <w:r w:rsidRPr="004F33D8">
        <w:rPr>
          <w:rFonts w:cs="Simplified Arabic" w:hint="cs"/>
          <w:b/>
          <w:bCs/>
          <w:sz w:val="22"/>
          <w:szCs w:val="22"/>
          <w:rtl/>
        </w:rPr>
        <w:t xml:space="preserve">جدول </w:t>
      </w:r>
      <w:r w:rsidR="00FD3AB5">
        <w:rPr>
          <w:rFonts w:cs="Simplified Arabic" w:hint="cs"/>
          <w:b/>
          <w:bCs/>
          <w:sz w:val="22"/>
          <w:szCs w:val="22"/>
          <w:rtl/>
        </w:rPr>
        <w:t>1</w:t>
      </w:r>
      <w:r w:rsidRPr="004F33D8">
        <w:rPr>
          <w:rFonts w:cs="Simplified Arabic" w:hint="cs"/>
          <w:b/>
          <w:bCs/>
          <w:sz w:val="22"/>
          <w:szCs w:val="22"/>
          <w:rtl/>
        </w:rPr>
        <w:t>: الناتج المحلي الإجمالي في الأراضي الفلسطينية</w:t>
      </w:r>
      <w:r>
        <w:rPr>
          <w:rFonts w:cs="Simplified Arabic" w:hint="cs"/>
          <w:b/>
          <w:bCs/>
          <w:sz w:val="22"/>
          <w:szCs w:val="22"/>
          <w:rtl/>
        </w:rPr>
        <w:t xml:space="preserve"> بالأسعار الثابتة</w:t>
      </w:r>
      <w:r w:rsidR="00715084">
        <w:rPr>
          <w:rFonts w:cs="Simplified Arabic" w:hint="cs"/>
          <w:b/>
          <w:bCs/>
          <w:sz w:val="22"/>
          <w:szCs w:val="22"/>
          <w:rtl/>
        </w:rPr>
        <w:t>،</w:t>
      </w:r>
      <w:r w:rsidRPr="004F33D8">
        <w:rPr>
          <w:rFonts w:cs="Simplified Arabic" w:hint="cs"/>
          <w:b/>
          <w:bCs/>
          <w:sz w:val="22"/>
          <w:szCs w:val="22"/>
          <w:rtl/>
        </w:rPr>
        <w:t xml:space="preserve"> (2004-2011)</w:t>
      </w:r>
    </w:p>
    <w:tbl>
      <w:tblPr>
        <w:tblpPr w:leftFromText="180" w:rightFromText="180" w:vertAnchor="text" w:tblpXSpec="right" w:tblpY="1"/>
        <w:tblOverlap w:val="never"/>
        <w:bidiVisual/>
        <w:tblW w:w="9498" w:type="dxa"/>
        <w:tblInd w:w="-245" w:type="dxa"/>
        <w:tblLook w:val="0000"/>
      </w:tblPr>
      <w:tblGrid>
        <w:gridCol w:w="2675"/>
        <w:gridCol w:w="858"/>
        <w:gridCol w:w="858"/>
        <w:gridCol w:w="858"/>
        <w:gridCol w:w="858"/>
        <w:gridCol w:w="858"/>
        <w:gridCol w:w="858"/>
        <w:gridCol w:w="858"/>
        <w:gridCol w:w="817"/>
      </w:tblGrid>
      <w:tr w:rsidR="00BD3519" w:rsidRPr="004F33D8" w:rsidTr="00947753">
        <w:trPr>
          <w:trHeight w:val="421"/>
        </w:trPr>
        <w:tc>
          <w:tcPr>
            <w:tcW w:w="2675" w:type="dxa"/>
            <w:tcBorders>
              <w:top w:val="single" w:sz="12" w:space="0" w:color="auto"/>
              <w:bottom w:val="single" w:sz="12" w:space="0" w:color="auto"/>
            </w:tcBorders>
          </w:tcPr>
          <w:p w:rsidR="00BD3519" w:rsidRPr="00FB36FA" w:rsidRDefault="00BD3519" w:rsidP="00881319">
            <w:pPr>
              <w:jc w:val="lowKashida"/>
              <w:rPr>
                <w:rFonts w:ascii="Arial" w:hAnsi="Arial" w:cs="Arial"/>
                <w:rtl/>
              </w:rPr>
            </w:pP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2004</w:t>
            </w: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2005</w:t>
            </w: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2006</w:t>
            </w: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2007</w:t>
            </w: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2008</w:t>
            </w: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2009</w:t>
            </w:r>
          </w:p>
        </w:tc>
        <w:tc>
          <w:tcPr>
            <w:tcW w:w="858"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Pr>
            </w:pPr>
            <w:r w:rsidRPr="00FB36FA">
              <w:rPr>
                <w:rFonts w:ascii="Arial" w:hAnsi="Arial" w:cs="Arial"/>
                <w:b/>
                <w:bCs/>
                <w:sz w:val="18"/>
                <w:szCs w:val="18"/>
                <w:rtl/>
              </w:rPr>
              <w:t>2010</w:t>
            </w:r>
          </w:p>
        </w:tc>
        <w:tc>
          <w:tcPr>
            <w:tcW w:w="817" w:type="dxa"/>
            <w:tcBorders>
              <w:top w:val="single" w:sz="12" w:space="0" w:color="auto"/>
              <w:bottom w:val="single" w:sz="12" w:space="0" w:color="auto"/>
            </w:tcBorders>
            <w:vAlign w:val="center"/>
          </w:tcPr>
          <w:p w:rsidR="00BD3519" w:rsidRPr="00FB36FA" w:rsidRDefault="00BD3519" w:rsidP="00881319">
            <w:pPr>
              <w:bidi w:val="0"/>
              <w:jc w:val="right"/>
              <w:rPr>
                <w:rFonts w:ascii="Arial" w:hAnsi="Arial" w:cs="Arial"/>
                <w:b/>
                <w:bCs/>
                <w:sz w:val="18"/>
                <w:szCs w:val="18"/>
                <w:rtl/>
              </w:rPr>
            </w:pPr>
            <w:r w:rsidRPr="00FB36FA">
              <w:rPr>
                <w:rFonts w:ascii="Arial" w:hAnsi="Arial" w:cs="Arial"/>
                <w:b/>
                <w:bCs/>
                <w:sz w:val="18"/>
                <w:szCs w:val="18"/>
                <w:rtl/>
              </w:rPr>
              <w:t>2011</w:t>
            </w:r>
          </w:p>
        </w:tc>
      </w:tr>
      <w:tr w:rsidR="00BD3519" w:rsidRPr="004F33D8" w:rsidTr="00947753">
        <w:trPr>
          <w:trHeight w:val="648"/>
        </w:trPr>
        <w:tc>
          <w:tcPr>
            <w:tcW w:w="2675" w:type="dxa"/>
            <w:tcBorders>
              <w:top w:val="single" w:sz="12" w:space="0" w:color="auto"/>
            </w:tcBorders>
            <w:vAlign w:val="center"/>
          </w:tcPr>
          <w:p w:rsidR="00BD3519" w:rsidRPr="00FB36FA" w:rsidRDefault="0031242E" w:rsidP="0031242E">
            <w:pPr>
              <w:rPr>
                <w:rFonts w:ascii="Arial" w:hAnsi="Arial" w:cs="Arial"/>
                <w:sz w:val="18"/>
                <w:szCs w:val="18"/>
                <w:rtl/>
              </w:rPr>
            </w:pPr>
            <w:bookmarkStart w:id="0" w:name="_Hlk289853712"/>
            <w:r>
              <w:rPr>
                <w:rFonts w:ascii="Arial" w:hAnsi="Arial" w:cs="Arial"/>
                <w:sz w:val="18"/>
                <w:szCs w:val="18"/>
                <w:rtl/>
              </w:rPr>
              <w:t xml:space="preserve">الناتج المحلي الإجمالي </w:t>
            </w:r>
            <w:r w:rsidR="00BD3519" w:rsidRPr="00FB36FA">
              <w:rPr>
                <w:rFonts w:ascii="Arial" w:hAnsi="Arial" w:cs="Arial"/>
                <w:sz w:val="18"/>
                <w:szCs w:val="18"/>
                <w:rtl/>
              </w:rPr>
              <w:t xml:space="preserve"> (بالمليون دولار)</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4,198.4</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4,559.5</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4,322.3</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4,554.1</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4,878.3</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5,239.3</w:t>
            </w:r>
          </w:p>
        </w:tc>
        <w:tc>
          <w:tcPr>
            <w:tcW w:w="858" w:type="dxa"/>
            <w:tcBorders>
              <w:top w:val="single" w:sz="12" w:space="0" w:color="auto"/>
            </w:tcBorders>
            <w:vAlign w:val="center"/>
          </w:tcPr>
          <w:p w:rsidR="00BD3519" w:rsidRPr="00FB36FA" w:rsidRDefault="00BD3519" w:rsidP="0031242E">
            <w:pPr>
              <w:bidi w:val="0"/>
              <w:rPr>
                <w:rFonts w:ascii="Arial" w:hAnsi="Arial" w:cs="Arial"/>
                <w:sz w:val="18"/>
                <w:szCs w:val="18"/>
              </w:rPr>
            </w:pPr>
            <w:r w:rsidRPr="00FB36FA">
              <w:rPr>
                <w:rFonts w:ascii="Arial" w:hAnsi="Arial" w:cs="Arial"/>
                <w:sz w:val="18"/>
                <w:szCs w:val="18"/>
              </w:rPr>
              <w:t>5,754.3</w:t>
            </w:r>
          </w:p>
        </w:tc>
        <w:tc>
          <w:tcPr>
            <w:tcW w:w="817" w:type="dxa"/>
            <w:tcBorders>
              <w:top w:val="single" w:sz="12" w:space="0" w:color="auto"/>
            </w:tcBorders>
          </w:tcPr>
          <w:p w:rsidR="00BD3519" w:rsidRPr="00FB36FA" w:rsidRDefault="00BD3519" w:rsidP="00947753">
            <w:pPr>
              <w:bidi w:val="0"/>
              <w:jc w:val="center"/>
              <w:rPr>
                <w:rFonts w:ascii="Arial" w:hAnsi="Arial" w:cs="Arial"/>
                <w:sz w:val="18"/>
                <w:szCs w:val="18"/>
              </w:rPr>
            </w:pPr>
          </w:p>
          <w:p w:rsidR="00BD3519" w:rsidRPr="00FB36FA" w:rsidRDefault="00BD3519" w:rsidP="00947753">
            <w:pPr>
              <w:bidi w:val="0"/>
              <w:jc w:val="center"/>
              <w:rPr>
                <w:rFonts w:ascii="Arial" w:hAnsi="Arial" w:cs="Arial"/>
                <w:sz w:val="18"/>
                <w:szCs w:val="18"/>
              </w:rPr>
            </w:pPr>
            <w:r w:rsidRPr="00FB36FA">
              <w:rPr>
                <w:rFonts w:ascii="Arial" w:hAnsi="Arial" w:cs="Arial"/>
                <w:sz w:val="18"/>
                <w:szCs w:val="18"/>
              </w:rPr>
              <w:t>6,3</w:t>
            </w:r>
            <w:r w:rsidRPr="00FB36FA">
              <w:rPr>
                <w:rFonts w:ascii="Arial" w:hAnsi="Arial" w:cs="Arial"/>
                <w:sz w:val="18"/>
                <w:szCs w:val="18"/>
                <w:rtl/>
              </w:rPr>
              <w:t>23</w:t>
            </w:r>
            <w:r w:rsidRPr="00FB36FA">
              <w:rPr>
                <w:rFonts w:ascii="Arial" w:hAnsi="Arial" w:cs="Arial"/>
                <w:sz w:val="18"/>
                <w:szCs w:val="18"/>
              </w:rPr>
              <w:t>.0</w:t>
            </w:r>
          </w:p>
        </w:tc>
      </w:tr>
      <w:bookmarkEnd w:id="0"/>
      <w:tr w:rsidR="00BD3519" w:rsidRPr="006476D8" w:rsidTr="00947753">
        <w:trPr>
          <w:trHeight w:val="324"/>
        </w:trPr>
        <w:tc>
          <w:tcPr>
            <w:tcW w:w="2675" w:type="dxa"/>
            <w:vAlign w:val="center"/>
          </w:tcPr>
          <w:p w:rsidR="00BD3519" w:rsidRPr="0031242E" w:rsidRDefault="00BD3519" w:rsidP="0031242E">
            <w:pPr>
              <w:rPr>
                <w:rFonts w:ascii="Arial" w:hAnsi="Arial" w:cs="Arial"/>
                <w:sz w:val="18"/>
                <w:szCs w:val="18"/>
              </w:rPr>
            </w:pPr>
            <w:r w:rsidRPr="0031242E">
              <w:rPr>
                <w:rFonts w:ascii="Arial" w:hAnsi="Arial" w:cs="Arial"/>
                <w:sz w:val="18"/>
                <w:szCs w:val="18"/>
                <w:rtl/>
              </w:rPr>
              <w:t xml:space="preserve">عدد السكان* (بالألف) </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3,188</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3,287</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3,389</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3,495</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3,597</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3,702</w:t>
            </w:r>
          </w:p>
        </w:tc>
        <w:tc>
          <w:tcPr>
            <w:tcW w:w="858"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3,813</w:t>
            </w:r>
          </w:p>
        </w:tc>
        <w:tc>
          <w:tcPr>
            <w:tcW w:w="817" w:type="dxa"/>
            <w:vAlign w:val="center"/>
          </w:tcPr>
          <w:p w:rsidR="00BD3519" w:rsidRPr="0031242E" w:rsidRDefault="00BD3519" w:rsidP="0031242E">
            <w:pPr>
              <w:bidi w:val="0"/>
              <w:rPr>
                <w:rFonts w:ascii="Arial" w:hAnsi="Arial" w:cs="Arial"/>
                <w:sz w:val="18"/>
                <w:szCs w:val="18"/>
              </w:rPr>
            </w:pPr>
            <w:r w:rsidRPr="0031242E">
              <w:rPr>
                <w:rFonts w:ascii="Arial" w:hAnsi="Arial" w:cs="Arial"/>
                <w:sz w:val="18"/>
                <w:szCs w:val="18"/>
              </w:rPr>
              <w:t>3,927</w:t>
            </w:r>
          </w:p>
        </w:tc>
      </w:tr>
      <w:tr w:rsidR="006476D8" w:rsidRPr="004F33D8" w:rsidTr="00947753">
        <w:trPr>
          <w:trHeight w:val="648"/>
        </w:trPr>
        <w:tc>
          <w:tcPr>
            <w:tcW w:w="2675" w:type="dxa"/>
            <w:vAlign w:val="center"/>
          </w:tcPr>
          <w:p w:rsidR="006476D8" w:rsidRPr="00FB36FA" w:rsidRDefault="006476D8" w:rsidP="0031242E">
            <w:pPr>
              <w:rPr>
                <w:rFonts w:ascii="Arial" w:hAnsi="Arial" w:cs="Arial"/>
                <w:sz w:val="18"/>
                <w:szCs w:val="18"/>
              </w:rPr>
            </w:pPr>
            <w:r w:rsidRPr="00FB36FA">
              <w:rPr>
                <w:rFonts w:ascii="Arial" w:hAnsi="Arial" w:cs="Arial"/>
                <w:sz w:val="18"/>
                <w:szCs w:val="18"/>
                <w:rtl/>
              </w:rPr>
              <w:t>نصيب الفرد من الناتج المحلي الإجمالي</w:t>
            </w:r>
            <w:r>
              <w:rPr>
                <w:rFonts w:ascii="Arial" w:hAnsi="Arial" w:cs="Arial" w:hint="cs"/>
                <w:sz w:val="18"/>
                <w:szCs w:val="18"/>
                <w:rtl/>
              </w:rPr>
              <w:t xml:space="preserve"> </w:t>
            </w:r>
            <w:r w:rsidRPr="00FB36FA">
              <w:rPr>
                <w:rFonts w:ascii="Arial" w:hAnsi="Arial" w:cs="Arial"/>
                <w:sz w:val="18"/>
                <w:szCs w:val="18"/>
                <w:rtl/>
              </w:rPr>
              <w:t>(دولار)</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1,317.0</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1,387.2</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1,275.4</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1,303.2</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1,356.3</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1,415.</w:t>
            </w:r>
            <w:r w:rsidRPr="00FB36FA">
              <w:rPr>
                <w:rFonts w:ascii="Arial" w:hAnsi="Arial" w:cs="Arial"/>
                <w:sz w:val="18"/>
                <w:szCs w:val="18"/>
                <w:rtl/>
              </w:rPr>
              <w:t>2</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1,509.9</w:t>
            </w:r>
          </w:p>
        </w:tc>
        <w:tc>
          <w:tcPr>
            <w:tcW w:w="817"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1,6</w:t>
            </w:r>
            <w:r w:rsidRPr="00FB36FA">
              <w:rPr>
                <w:rFonts w:ascii="Arial" w:hAnsi="Arial" w:cs="Arial"/>
                <w:sz w:val="18"/>
                <w:szCs w:val="18"/>
                <w:rtl/>
              </w:rPr>
              <w:t>09</w:t>
            </w:r>
            <w:r w:rsidRPr="00FB36FA">
              <w:rPr>
                <w:rFonts w:ascii="Arial" w:hAnsi="Arial" w:cs="Arial"/>
                <w:sz w:val="18"/>
                <w:szCs w:val="18"/>
              </w:rPr>
              <w:t>.</w:t>
            </w:r>
            <w:r w:rsidRPr="00FB36FA">
              <w:rPr>
                <w:rFonts w:ascii="Arial" w:hAnsi="Arial" w:cs="Arial"/>
                <w:sz w:val="18"/>
                <w:szCs w:val="18"/>
                <w:rtl/>
              </w:rPr>
              <w:t>6</w:t>
            </w:r>
          </w:p>
        </w:tc>
      </w:tr>
      <w:tr w:rsidR="006476D8" w:rsidRPr="004F33D8" w:rsidTr="00947753">
        <w:trPr>
          <w:trHeight w:val="307"/>
        </w:trPr>
        <w:tc>
          <w:tcPr>
            <w:tcW w:w="2675" w:type="dxa"/>
            <w:vAlign w:val="center"/>
          </w:tcPr>
          <w:p w:rsidR="006476D8" w:rsidRPr="00FB36FA" w:rsidRDefault="006476D8" w:rsidP="0031242E">
            <w:pPr>
              <w:rPr>
                <w:rFonts w:ascii="Arial" w:hAnsi="Arial" w:cs="Arial"/>
                <w:sz w:val="18"/>
                <w:szCs w:val="18"/>
                <w:rtl/>
              </w:rPr>
            </w:pPr>
            <w:r w:rsidRPr="00FB36FA">
              <w:rPr>
                <w:rFonts w:ascii="Arial" w:hAnsi="Arial" w:cs="Arial"/>
                <w:sz w:val="18"/>
                <w:szCs w:val="18"/>
                <w:rtl/>
              </w:rPr>
              <w:t>نسبة التغير في نصيب الفرد</w:t>
            </w:r>
          </w:p>
        </w:tc>
        <w:tc>
          <w:tcPr>
            <w:tcW w:w="858" w:type="dxa"/>
            <w:vAlign w:val="center"/>
          </w:tcPr>
          <w:p w:rsidR="006476D8" w:rsidRPr="00FB36FA" w:rsidRDefault="006476D8" w:rsidP="00183262">
            <w:pPr>
              <w:bidi w:val="0"/>
              <w:jc w:val="center"/>
              <w:rPr>
                <w:rFonts w:ascii="Arial" w:hAnsi="Arial" w:cs="Arial"/>
                <w:sz w:val="18"/>
                <w:szCs w:val="18"/>
              </w:rPr>
            </w:pPr>
            <w:r w:rsidRPr="00FB36FA">
              <w:rPr>
                <w:rFonts w:ascii="Arial" w:hAnsi="Arial" w:cs="Arial"/>
                <w:sz w:val="18"/>
                <w:szCs w:val="18"/>
                <w:rtl/>
              </w:rPr>
              <w:t>-</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5.3</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-8.1</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2.2</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4.1</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4.3</w:t>
            </w:r>
          </w:p>
        </w:tc>
        <w:tc>
          <w:tcPr>
            <w:tcW w:w="858"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6.7</w:t>
            </w:r>
          </w:p>
        </w:tc>
        <w:tc>
          <w:tcPr>
            <w:tcW w:w="817" w:type="dxa"/>
            <w:vAlign w:val="center"/>
          </w:tcPr>
          <w:p w:rsidR="006476D8" w:rsidRPr="00FB36FA" w:rsidRDefault="006476D8" w:rsidP="0031242E">
            <w:pPr>
              <w:bidi w:val="0"/>
              <w:rPr>
                <w:rFonts w:ascii="Arial" w:hAnsi="Arial" w:cs="Arial"/>
                <w:sz w:val="18"/>
                <w:szCs w:val="18"/>
              </w:rPr>
            </w:pPr>
            <w:r w:rsidRPr="00FB36FA">
              <w:rPr>
                <w:rFonts w:ascii="Arial" w:hAnsi="Arial" w:cs="Arial"/>
                <w:sz w:val="18"/>
                <w:szCs w:val="18"/>
              </w:rPr>
              <w:t>6.</w:t>
            </w:r>
            <w:r w:rsidRPr="00FB36FA">
              <w:rPr>
                <w:rFonts w:ascii="Arial" w:hAnsi="Arial" w:cs="Arial"/>
                <w:sz w:val="18"/>
                <w:szCs w:val="18"/>
                <w:rtl/>
              </w:rPr>
              <w:t>6</w:t>
            </w:r>
          </w:p>
        </w:tc>
      </w:tr>
      <w:tr w:rsidR="00881319" w:rsidRPr="004F33D8" w:rsidTr="00947753">
        <w:trPr>
          <w:trHeight w:val="648"/>
        </w:trPr>
        <w:tc>
          <w:tcPr>
            <w:tcW w:w="2675" w:type="dxa"/>
            <w:vAlign w:val="center"/>
          </w:tcPr>
          <w:p w:rsidR="00881319" w:rsidRPr="00FB36FA" w:rsidRDefault="00881319" w:rsidP="0031242E">
            <w:pPr>
              <w:rPr>
                <w:rFonts w:ascii="Arial" w:hAnsi="Arial" w:cs="Arial"/>
                <w:sz w:val="18"/>
                <w:szCs w:val="18"/>
                <w:rtl/>
              </w:rPr>
            </w:pPr>
            <w:r w:rsidRPr="00FB36FA">
              <w:rPr>
                <w:rFonts w:ascii="Arial" w:hAnsi="Arial" w:cs="Arial"/>
                <w:sz w:val="18"/>
                <w:szCs w:val="18"/>
                <w:rtl/>
              </w:rPr>
              <w:t>نصيب الفرد من الناتج المحلي الإجمالي</w:t>
            </w:r>
            <w:r>
              <w:rPr>
                <w:rFonts w:ascii="Arial" w:hAnsi="Arial" w:cs="Arial" w:hint="cs"/>
                <w:sz w:val="18"/>
                <w:szCs w:val="18"/>
                <w:rtl/>
              </w:rPr>
              <w:t xml:space="preserve"> في الضفة الغربية </w:t>
            </w:r>
            <w:r w:rsidRPr="00FB36FA">
              <w:rPr>
                <w:rFonts w:ascii="Arial" w:hAnsi="Arial" w:cs="Arial"/>
                <w:sz w:val="18"/>
                <w:szCs w:val="18"/>
                <w:rtl/>
              </w:rPr>
              <w:t>(دولار)</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1,457.1</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1,451.1</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1,459.8</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1,580.5</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1,723.6</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1,796.3</w:t>
            </w:r>
          </w:p>
        </w:tc>
        <w:tc>
          <w:tcPr>
            <w:tcW w:w="858"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1,867.1</w:t>
            </w:r>
          </w:p>
        </w:tc>
        <w:tc>
          <w:tcPr>
            <w:tcW w:w="817" w:type="dxa"/>
            <w:vAlign w:val="center"/>
          </w:tcPr>
          <w:p w:rsidR="00881319" w:rsidRPr="00881319" w:rsidRDefault="00881319" w:rsidP="0031242E">
            <w:pPr>
              <w:bidi w:val="0"/>
              <w:rPr>
                <w:rFonts w:ascii="Arial" w:hAnsi="Arial" w:cs="Arial"/>
                <w:sz w:val="18"/>
                <w:szCs w:val="18"/>
              </w:rPr>
            </w:pPr>
            <w:r w:rsidRPr="00881319">
              <w:rPr>
                <w:rFonts w:ascii="Arial" w:hAnsi="Arial" w:cs="Arial"/>
                <w:sz w:val="18"/>
                <w:szCs w:val="18"/>
              </w:rPr>
              <w:t>1,912.1</w:t>
            </w:r>
          </w:p>
        </w:tc>
      </w:tr>
      <w:tr w:rsidR="00881319" w:rsidRPr="004F33D8" w:rsidTr="00947753">
        <w:trPr>
          <w:trHeight w:val="648"/>
        </w:trPr>
        <w:tc>
          <w:tcPr>
            <w:tcW w:w="2675" w:type="dxa"/>
            <w:vAlign w:val="center"/>
          </w:tcPr>
          <w:p w:rsidR="00881319" w:rsidRPr="00FB36FA" w:rsidRDefault="00881319" w:rsidP="0031242E">
            <w:pPr>
              <w:rPr>
                <w:rFonts w:ascii="Arial" w:hAnsi="Arial" w:cs="Arial"/>
                <w:sz w:val="18"/>
                <w:szCs w:val="18"/>
                <w:rtl/>
              </w:rPr>
            </w:pPr>
            <w:r>
              <w:rPr>
                <w:rFonts w:ascii="Arial" w:hAnsi="Arial" w:cs="Arial" w:hint="cs"/>
                <w:sz w:val="18"/>
                <w:szCs w:val="18"/>
                <w:rtl/>
              </w:rPr>
              <w:t>نسبة التغير في نصيب الفرد</w:t>
            </w:r>
            <w:r w:rsidR="00947753">
              <w:rPr>
                <w:rFonts w:ascii="Arial" w:hAnsi="Arial" w:cs="Arial" w:hint="cs"/>
                <w:sz w:val="18"/>
                <w:szCs w:val="18"/>
                <w:rtl/>
              </w:rPr>
              <w:t xml:space="preserve"> (الضفة الغربية)</w:t>
            </w:r>
            <w:r>
              <w:rPr>
                <w:rFonts w:ascii="Arial" w:hAnsi="Arial" w:cs="Arial" w:hint="cs"/>
                <w:sz w:val="18"/>
                <w:szCs w:val="18"/>
                <w:rtl/>
              </w:rPr>
              <w:t xml:space="preserve"> </w:t>
            </w:r>
          </w:p>
        </w:tc>
        <w:tc>
          <w:tcPr>
            <w:tcW w:w="858" w:type="dxa"/>
            <w:vAlign w:val="center"/>
          </w:tcPr>
          <w:p w:rsidR="00881319" w:rsidRPr="00881319" w:rsidRDefault="00881319" w:rsidP="00183262">
            <w:pPr>
              <w:bidi w:val="0"/>
              <w:jc w:val="center"/>
              <w:rPr>
                <w:rFonts w:ascii="Arial" w:hAnsi="Arial" w:cs="Arial"/>
                <w:sz w:val="18"/>
                <w:szCs w:val="18"/>
              </w:rPr>
            </w:pPr>
            <w:r>
              <w:rPr>
                <w:rFonts w:ascii="Arial" w:hAnsi="Arial" w:cs="Arial"/>
                <w:sz w:val="18"/>
                <w:szCs w:val="18"/>
              </w:rPr>
              <w:t>-</w:t>
            </w:r>
          </w:p>
        </w:tc>
        <w:tc>
          <w:tcPr>
            <w:tcW w:w="858"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-0.4</w:t>
            </w:r>
          </w:p>
        </w:tc>
        <w:tc>
          <w:tcPr>
            <w:tcW w:w="858"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0.6</w:t>
            </w:r>
          </w:p>
        </w:tc>
        <w:tc>
          <w:tcPr>
            <w:tcW w:w="858"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8.3</w:t>
            </w:r>
          </w:p>
        </w:tc>
        <w:tc>
          <w:tcPr>
            <w:tcW w:w="858"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9.1</w:t>
            </w:r>
          </w:p>
        </w:tc>
        <w:tc>
          <w:tcPr>
            <w:tcW w:w="858"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4.2</w:t>
            </w:r>
          </w:p>
        </w:tc>
        <w:tc>
          <w:tcPr>
            <w:tcW w:w="858"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3.9</w:t>
            </w:r>
          </w:p>
        </w:tc>
        <w:tc>
          <w:tcPr>
            <w:tcW w:w="817" w:type="dxa"/>
            <w:vAlign w:val="center"/>
          </w:tcPr>
          <w:p w:rsidR="00881319" w:rsidRPr="00881319" w:rsidRDefault="00881319" w:rsidP="00183262">
            <w:pPr>
              <w:bidi w:val="0"/>
              <w:rPr>
                <w:rFonts w:ascii="Arial" w:hAnsi="Arial" w:cs="Arial"/>
                <w:sz w:val="18"/>
                <w:szCs w:val="18"/>
              </w:rPr>
            </w:pPr>
            <w:r w:rsidRPr="00881319">
              <w:rPr>
                <w:rFonts w:ascii="Arial" w:hAnsi="Arial" w:cs="Arial"/>
                <w:sz w:val="18"/>
                <w:szCs w:val="18"/>
              </w:rPr>
              <w:t>2.4</w:t>
            </w:r>
          </w:p>
        </w:tc>
      </w:tr>
      <w:tr w:rsidR="00881319" w:rsidRPr="004F33D8" w:rsidTr="00947753">
        <w:trPr>
          <w:trHeight w:val="648"/>
        </w:trPr>
        <w:tc>
          <w:tcPr>
            <w:tcW w:w="2675" w:type="dxa"/>
            <w:vAlign w:val="center"/>
          </w:tcPr>
          <w:p w:rsidR="00881319" w:rsidRPr="00FB36FA" w:rsidRDefault="00881319" w:rsidP="0031242E">
            <w:pPr>
              <w:rPr>
                <w:rFonts w:ascii="Arial" w:hAnsi="Arial" w:cs="Arial"/>
                <w:sz w:val="18"/>
                <w:szCs w:val="18"/>
              </w:rPr>
            </w:pPr>
            <w:r w:rsidRPr="00FB36FA">
              <w:rPr>
                <w:rFonts w:ascii="Arial" w:hAnsi="Arial" w:cs="Arial"/>
                <w:sz w:val="18"/>
                <w:szCs w:val="18"/>
                <w:rtl/>
              </w:rPr>
              <w:t>نصيب الفرد من الناتج المحلي الإجمالي</w:t>
            </w:r>
            <w:r>
              <w:rPr>
                <w:rFonts w:ascii="Arial" w:hAnsi="Arial" w:cs="Arial" w:hint="cs"/>
                <w:sz w:val="18"/>
                <w:szCs w:val="18"/>
                <w:rtl/>
              </w:rPr>
              <w:t xml:space="preserve"> في قطاع غزة </w:t>
            </w:r>
            <w:r w:rsidRPr="00FB36FA">
              <w:rPr>
                <w:rFonts w:ascii="Arial" w:hAnsi="Arial" w:cs="Arial"/>
                <w:sz w:val="18"/>
                <w:szCs w:val="18"/>
                <w:rtl/>
              </w:rPr>
              <w:t>(دولار)</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1,103.1</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1,290.1</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996.5</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886.2</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806.5</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847.2</w:t>
            </w:r>
          </w:p>
        </w:tc>
        <w:tc>
          <w:tcPr>
            <w:tcW w:w="858"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980.2</w:t>
            </w:r>
          </w:p>
        </w:tc>
        <w:tc>
          <w:tcPr>
            <w:tcW w:w="817" w:type="dxa"/>
            <w:vAlign w:val="center"/>
          </w:tcPr>
          <w:p w:rsidR="00881319" w:rsidRPr="0031242E" w:rsidRDefault="00881319" w:rsidP="0031242E">
            <w:pPr>
              <w:bidi w:val="0"/>
              <w:rPr>
                <w:rFonts w:ascii="Arial" w:hAnsi="Arial" w:cs="Arial"/>
                <w:sz w:val="18"/>
                <w:szCs w:val="18"/>
              </w:rPr>
            </w:pPr>
            <w:r w:rsidRPr="0031242E">
              <w:rPr>
                <w:rFonts w:ascii="Arial" w:hAnsi="Arial" w:cs="Arial"/>
                <w:sz w:val="18"/>
                <w:szCs w:val="18"/>
              </w:rPr>
              <w:t>1,164.5</w:t>
            </w:r>
          </w:p>
        </w:tc>
      </w:tr>
      <w:tr w:rsidR="00947753" w:rsidRPr="004F33D8" w:rsidTr="00947753">
        <w:trPr>
          <w:trHeight w:val="307"/>
        </w:trPr>
        <w:tc>
          <w:tcPr>
            <w:tcW w:w="2675" w:type="dxa"/>
            <w:tcBorders>
              <w:bottom w:val="single" w:sz="12" w:space="0" w:color="auto"/>
            </w:tcBorders>
            <w:vAlign w:val="center"/>
          </w:tcPr>
          <w:p w:rsidR="0031242E" w:rsidRPr="00FB36FA" w:rsidRDefault="0031242E" w:rsidP="0031242E">
            <w:pPr>
              <w:rPr>
                <w:rFonts w:ascii="Arial" w:hAnsi="Arial" w:cs="Arial"/>
                <w:sz w:val="18"/>
                <w:szCs w:val="18"/>
              </w:rPr>
            </w:pPr>
            <w:r w:rsidRPr="00FB36FA">
              <w:rPr>
                <w:rFonts w:ascii="Arial" w:hAnsi="Arial" w:cs="Arial"/>
                <w:sz w:val="18"/>
                <w:szCs w:val="18"/>
                <w:rtl/>
              </w:rPr>
              <w:t>نسبة التغير في نصيب الفرد</w:t>
            </w:r>
            <w:r w:rsidR="00947753">
              <w:rPr>
                <w:rFonts w:ascii="Arial" w:hAnsi="Arial" w:cs="Arial" w:hint="cs"/>
                <w:sz w:val="18"/>
                <w:szCs w:val="18"/>
                <w:rtl/>
              </w:rPr>
              <w:t xml:space="preserve"> (قطاع غزة)</w:t>
            </w:r>
          </w:p>
        </w:tc>
        <w:tc>
          <w:tcPr>
            <w:tcW w:w="858" w:type="dxa"/>
            <w:tcBorders>
              <w:bottom w:val="single" w:sz="12" w:space="0" w:color="auto"/>
            </w:tcBorders>
            <w:vAlign w:val="center"/>
          </w:tcPr>
          <w:p w:rsidR="0031242E" w:rsidRPr="0031242E" w:rsidRDefault="0031242E" w:rsidP="00183262">
            <w:pPr>
              <w:bidi w:val="0"/>
              <w:jc w:val="center"/>
              <w:rPr>
                <w:rFonts w:ascii="Arial" w:hAnsi="Arial" w:cs="Arial"/>
                <w:sz w:val="18"/>
                <w:szCs w:val="18"/>
              </w:rPr>
            </w:pPr>
            <w:r>
              <w:rPr>
                <w:rFonts w:ascii="Arial" w:hAnsi="Arial" w:cs="Arial"/>
                <w:sz w:val="18"/>
                <w:szCs w:val="18"/>
              </w:rPr>
              <w:t>-</w:t>
            </w:r>
          </w:p>
        </w:tc>
        <w:tc>
          <w:tcPr>
            <w:tcW w:w="858"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17.0</w:t>
            </w:r>
          </w:p>
        </w:tc>
        <w:tc>
          <w:tcPr>
            <w:tcW w:w="858"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-22.8</w:t>
            </w:r>
          </w:p>
        </w:tc>
        <w:tc>
          <w:tcPr>
            <w:tcW w:w="858"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-11.1</w:t>
            </w:r>
          </w:p>
        </w:tc>
        <w:tc>
          <w:tcPr>
            <w:tcW w:w="858"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-9.0</w:t>
            </w:r>
          </w:p>
        </w:tc>
        <w:tc>
          <w:tcPr>
            <w:tcW w:w="858"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5.0</w:t>
            </w:r>
          </w:p>
        </w:tc>
        <w:tc>
          <w:tcPr>
            <w:tcW w:w="858"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15.7</w:t>
            </w:r>
          </w:p>
        </w:tc>
        <w:tc>
          <w:tcPr>
            <w:tcW w:w="817" w:type="dxa"/>
            <w:tcBorders>
              <w:bottom w:val="single" w:sz="12" w:space="0" w:color="auto"/>
            </w:tcBorders>
            <w:vAlign w:val="center"/>
          </w:tcPr>
          <w:p w:rsidR="0031242E" w:rsidRPr="0031242E" w:rsidRDefault="0031242E" w:rsidP="00183262">
            <w:pPr>
              <w:bidi w:val="0"/>
              <w:rPr>
                <w:rFonts w:ascii="Arial" w:hAnsi="Arial" w:cs="Arial"/>
                <w:sz w:val="18"/>
                <w:szCs w:val="18"/>
              </w:rPr>
            </w:pPr>
            <w:r w:rsidRPr="0031242E">
              <w:rPr>
                <w:rFonts w:ascii="Arial" w:hAnsi="Arial" w:cs="Arial"/>
                <w:sz w:val="18"/>
                <w:szCs w:val="18"/>
              </w:rPr>
              <w:t>18.8</w:t>
            </w:r>
          </w:p>
        </w:tc>
      </w:tr>
    </w:tbl>
    <w:p w:rsidR="00947753" w:rsidRPr="0031242E" w:rsidRDefault="00947753" w:rsidP="00947753">
      <w:pPr>
        <w:rPr>
          <w:rFonts w:cs="Simplified Arabic"/>
          <w:sz w:val="18"/>
          <w:szCs w:val="18"/>
          <w:rtl/>
        </w:rPr>
      </w:pPr>
      <w:r w:rsidRPr="006476D8">
        <w:rPr>
          <w:rFonts w:cs="Simplified Arabic" w:hint="cs"/>
          <w:strike/>
          <w:sz w:val="18"/>
          <w:szCs w:val="18"/>
          <w:rtl/>
        </w:rPr>
        <w:t xml:space="preserve"> </w:t>
      </w:r>
      <w:r w:rsidRPr="0031242E">
        <w:rPr>
          <w:rFonts w:cs="Simplified Arabic" w:hint="cs"/>
          <w:sz w:val="18"/>
          <w:szCs w:val="18"/>
          <w:rtl/>
        </w:rPr>
        <w:t xml:space="preserve"> *عدد السكان في الأراضي الفلسطينية باستثناء ذلك الجزء من القدس الذي ضمته إسرائيل عنوة بعيد احتلالها للضفة الغربية عام 1967.</w:t>
      </w:r>
    </w:p>
    <w:p w:rsidR="00BD3519" w:rsidRPr="0031242E" w:rsidRDefault="00BD3519" w:rsidP="00947753">
      <w:pPr>
        <w:rPr>
          <w:rFonts w:cs="Simplified Arabic"/>
          <w:sz w:val="18"/>
          <w:szCs w:val="18"/>
          <w:rtl/>
        </w:rPr>
      </w:pPr>
    </w:p>
    <w:p w:rsidR="00BD3519" w:rsidRPr="004F33D8" w:rsidRDefault="00924F8A" w:rsidP="00B63985">
      <w:pPr>
        <w:spacing w:before="240" w:after="200"/>
        <w:jc w:val="lowKashida"/>
        <w:rPr>
          <w:rFonts w:ascii="Arial" w:hAnsi="Arial" w:cs="Simplified Arabic"/>
          <w:rtl/>
          <w:lang w:eastAsia="en-US"/>
        </w:rPr>
      </w:pPr>
      <w:r>
        <w:rPr>
          <w:rFonts w:cs="Simplified Arabic" w:hint="cs"/>
          <w:b/>
          <w:bCs/>
          <w:rtl/>
        </w:rPr>
        <w:t xml:space="preserve">بالرغم من ارتفاع معدل النمو في قطاع غزة خلال </w:t>
      </w:r>
      <w:r w:rsidR="00211679">
        <w:rPr>
          <w:rFonts w:cs="Simplified Arabic" w:hint="cs"/>
          <w:b/>
          <w:bCs/>
          <w:rtl/>
        </w:rPr>
        <w:t xml:space="preserve">السنتين </w:t>
      </w:r>
      <w:r>
        <w:rPr>
          <w:rFonts w:cs="Simplified Arabic" w:hint="cs"/>
          <w:b/>
          <w:bCs/>
          <w:rtl/>
        </w:rPr>
        <w:t xml:space="preserve">الأخيرتين، فقد ظل </w:t>
      </w:r>
      <w:r w:rsidR="00BD3519" w:rsidRPr="00924F8A">
        <w:rPr>
          <w:rFonts w:cs="Simplified Arabic" w:hint="cs"/>
          <w:b/>
          <w:bCs/>
          <w:rtl/>
        </w:rPr>
        <w:t>نصيب الفرد من الناتج المحلي الإجمالي</w:t>
      </w:r>
      <w:r w:rsidRPr="00924F8A">
        <w:rPr>
          <w:rFonts w:cs="Simplified Arabic" w:hint="cs"/>
          <w:b/>
          <w:bCs/>
          <w:rtl/>
        </w:rPr>
        <w:t xml:space="preserve"> </w:t>
      </w:r>
      <w:r w:rsidRPr="00924F8A">
        <w:rPr>
          <w:rFonts w:hint="cs"/>
          <w:b/>
          <w:bCs/>
          <w:rtl/>
          <w:lang w:eastAsia="en-US"/>
        </w:rPr>
        <w:t xml:space="preserve">في </w:t>
      </w:r>
      <w:r w:rsidRPr="00924F8A">
        <w:rPr>
          <w:rFonts w:cs="Simplified Arabic" w:hint="cs"/>
          <w:b/>
          <w:bCs/>
          <w:rtl/>
        </w:rPr>
        <w:t>قطاع غزة</w:t>
      </w:r>
      <w:r>
        <w:rPr>
          <w:rFonts w:cs="Simplified Arabic" w:hint="cs"/>
          <w:b/>
          <w:bCs/>
          <w:rtl/>
        </w:rPr>
        <w:t xml:space="preserve"> أقل من مثيله في الضفة الغربية. </w:t>
      </w:r>
      <w:r>
        <w:rPr>
          <w:rFonts w:cs="Simplified Arabic" w:hint="cs"/>
          <w:rtl/>
        </w:rPr>
        <w:t>وكما يتضح من جدول 1، فقد بلغ</w:t>
      </w:r>
      <w:r w:rsidRPr="00924F8A">
        <w:rPr>
          <w:rFonts w:cs="Simplified Arabic" w:hint="cs"/>
          <w:b/>
          <w:bCs/>
          <w:rtl/>
        </w:rPr>
        <w:t xml:space="preserve"> </w:t>
      </w:r>
      <w:r w:rsidRPr="00924F8A">
        <w:rPr>
          <w:rFonts w:cs="Simplified Arabic" w:hint="cs"/>
          <w:rtl/>
        </w:rPr>
        <w:t xml:space="preserve">نصيب الفرد من الناتج المحلي الإجمالي </w:t>
      </w:r>
      <w:r w:rsidRPr="00924F8A">
        <w:rPr>
          <w:rFonts w:hint="cs"/>
          <w:rtl/>
          <w:lang w:eastAsia="en-US"/>
        </w:rPr>
        <w:t xml:space="preserve">في </w:t>
      </w:r>
      <w:r w:rsidRPr="00924F8A">
        <w:rPr>
          <w:rFonts w:cs="Simplified Arabic" w:hint="cs"/>
          <w:rtl/>
        </w:rPr>
        <w:t xml:space="preserve">قطاع غزة </w:t>
      </w:r>
      <w:r w:rsidR="00BD3519" w:rsidRPr="00924F8A">
        <w:rPr>
          <w:rFonts w:cs="Simplified Arabic" w:hint="cs"/>
          <w:rtl/>
        </w:rPr>
        <w:t xml:space="preserve">1,164.5 دولار </w:t>
      </w:r>
      <w:r w:rsidRPr="00924F8A">
        <w:rPr>
          <w:rFonts w:cs="Simplified Arabic" w:hint="cs"/>
          <w:rtl/>
        </w:rPr>
        <w:t xml:space="preserve">عام 2011 مقارنة مع 1,912.1 دولار </w:t>
      </w:r>
      <w:r w:rsidR="00BD3519" w:rsidRPr="00924F8A">
        <w:rPr>
          <w:rFonts w:cs="Simplified Arabic" w:hint="cs"/>
          <w:rtl/>
        </w:rPr>
        <w:t>في الضفة الغربية خلال عام 2011،</w:t>
      </w:r>
      <w:r w:rsidR="00BD3519" w:rsidRPr="004F33D8">
        <w:rPr>
          <w:rFonts w:cs="Simplified Arabic" w:hint="cs"/>
          <w:rtl/>
        </w:rPr>
        <w:t xml:space="preserve"> </w:t>
      </w:r>
      <w:r>
        <w:rPr>
          <w:rFonts w:cs="Simplified Arabic" w:hint="cs"/>
          <w:rtl/>
        </w:rPr>
        <w:t xml:space="preserve">أي أن نصيب </w:t>
      </w:r>
      <w:r w:rsidRPr="004F33D8">
        <w:rPr>
          <w:rFonts w:cs="Simplified Arabic" w:hint="cs"/>
          <w:rtl/>
        </w:rPr>
        <w:t>الفرد من الناتج المحلي الإجمالي</w:t>
      </w:r>
      <w:r w:rsidR="00211679">
        <w:rPr>
          <w:rFonts w:cs="Simplified Arabic" w:hint="cs"/>
          <w:rtl/>
        </w:rPr>
        <w:t xml:space="preserve"> في الضفة الغربية</w:t>
      </w:r>
      <w:r>
        <w:rPr>
          <w:rFonts w:cs="Simplified Arabic" w:hint="cs"/>
          <w:rtl/>
        </w:rPr>
        <w:t xml:space="preserve"> </w:t>
      </w:r>
      <w:r w:rsidR="00BD3519" w:rsidRPr="004F33D8">
        <w:rPr>
          <w:rFonts w:cs="Simplified Arabic" w:hint="cs"/>
          <w:rtl/>
        </w:rPr>
        <w:t>يعادل</w:t>
      </w:r>
      <w:r w:rsidR="00BD3519">
        <w:rPr>
          <w:rFonts w:cs="Simplified Arabic" w:hint="cs"/>
          <w:rtl/>
        </w:rPr>
        <w:t xml:space="preserve"> 1.7</w:t>
      </w:r>
      <w:r w:rsidR="00BD3519" w:rsidRPr="004F33D8">
        <w:rPr>
          <w:rFonts w:cs="Simplified Arabic" w:hint="cs"/>
          <w:rtl/>
        </w:rPr>
        <w:t xml:space="preserve"> ضعف نصيب الفرد في قطاع غزة</w:t>
      </w:r>
      <w:r>
        <w:rPr>
          <w:rFonts w:cs="Simplified Arabic" w:hint="cs"/>
          <w:rtl/>
        </w:rPr>
        <w:t>. ويعود ذلك إلى ارتفاع معدلات النمو في الضفة الغربية خلال السنوات الماضية مقارنة مع قطاع غزة.</w:t>
      </w:r>
      <w:r w:rsidRPr="00924F8A">
        <w:rPr>
          <w:rFonts w:cs="Simplified Arabic" w:hint="cs"/>
          <w:rtl/>
        </w:rPr>
        <w:t xml:space="preserve"> </w:t>
      </w:r>
    </w:p>
    <w:p w:rsidR="00BD3519" w:rsidRPr="004F33D8" w:rsidRDefault="00BD3519" w:rsidP="00BD3519">
      <w:pPr>
        <w:rPr>
          <w:rFonts w:cs="Simplified Arabic"/>
          <w:sz w:val="22"/>
          <w:szCs w:val="22"/>
          <w:rtl/>
        </w:rPr>
      </w:pPr>
    </w:p>
    <w:p w:rsidR="00BD3519" w:rsidRPr="004F33D8" w:rsidRDefault="00BD3519" w:rsidP="00EB676C">
      <w:pPr>
        <w:keepNext/>
        <w:jc w:val="center"/>
        <w:rPr>
          <w:rFonts w:cs="Simplified Arabic"/>
          <w:b/>
          <w:bCs/>
          <w:sz w:val="22"/>
          <w:szCs w:val="22"/>
          <w:rtl/>
        </w:rPr>
      </w:pPr>
      <w:r w:rsidRPr="004F33D8">
        <w:rPr>
          <w:rFonts w:cs="Simplified Arabic" w:hint="cs"/>
          <w:b/>
          <w:bCs/>
          <w:sz w:val="22"/>
          <w:szCs w:val="22"/>
          <w:rtl/>
        </w:rPr>
        <w:lastRenderedPageBreak/>
        <w:t>شكل</w:t>
      </w:r>
      <w:r w:rsidR="00EB676C">
        <w:rPr>
          <w:rFonts w:cs="Simplified Arabic" w:hint="cs"/>
          <w:b/>
          <w:bCs/>
          <w:sz w:val="22"/>
          <w:szCs w:val="22"/>
          <w:rtl/>
        </w:rPr>
        <w:t xml:space="preserve"> 2</w:t>
      </w:r>
      <w:r w:rsidRPr="004F33D8">
        <w:rPr>
          <w:rFonts w:cs="Simplified Arabic" w:hint="cs"/>
          <w:b/>
          <w:bCs/>
          <w:sz w:val="22"/>
          <w:szCs w:val="22"/>
          <w:rtl/>
        </w:rPr>
        <w:t>: نصيب الفرد من الناتج المحلي الإجمالي بالدولار</w:t>
      </w:r>
      <w:r w:rsidR="00F36C46">
        <w:rPr>
          <w:rFonts w:cs="Simplified Arabic" w:hint="cs"/>
          <w:b/>
          <w:bCs/>
          <w:sz w:val="22"/>
          <w:szCs w:val="22"/>
          <w:rtl/>
        </w:rPr>
        <w:t xml:space="preserve"> الامريكي في الاراضي </w:t>
      </w:r>
      <w:proofErr w:type="spellStart"/>
      <w:r w:rsidR="00F36C46">
        <w:rPr>
          <w:rFonts w:cs="Simplified Arabic" w:hint="cs"/>
          <w:b/>
          <w:bCs/>
          <w:sz w:val="22"/>
          <w:szCs w:val="22"/>
          <w:rtl/>
        </w:rPr>
        <w:t>الفلسطينية،</w:t>
      </w:r>
      <w:proofErr w:type="spellEnd"/>
      <w:r w:rsidRPr="004F33D8">
        <w:rPr>
          <w:rFonts w:cs="Simplified Arabic" w:hint="cs"/>
          <w:b/>
          <w:bCs/>
          <w:sz w:val="22"/>
          <w:szCs w:val="22"/>
          <w:rtl/>
        </w:rPr>
        <w:t xml:space="preserve"> (2004-2011)</w:t>
      </w:r>
    </w:p>
    <w:p w:rsidR="00BD3519" w:rsidRPr="004F33D8" w:rsidRDefault="00BD3519" w:rsidP="00BD3519">
      <w:pPr>
        <w:spacing w:after="120"/>
        <w:jc w:val="center"/>
        <w:rPr>
          <w:rtl/>
        </w:rPr>
      </w:pPr>
      <w:r w:rsidRPr="004F33D8">
        <w:rPr>
          <w:noProof/>
          <w:lang w:eastAsia="en-US"/>
        </w:rPr>
        <w:drawing>
          <wp:inline distT="0" distB="0" distL="0" distR="0">
            <wp:extent cx="5133975" cy="2800350"/>
            <wp:effectExtent l="19050" t="0" r="9525" b="0"/>
            <wp:docPr id="2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3519" w:rsidRPr="004F33D8" w:rsidRDefault="00BD3519" w:rsidP="00BD3519">
      <w:pPr>
        <w:rPr>
          <w:rtl/>
        </w:rPr>
      </w:pPr>
    </w:p>
    <w:p w:rsidR="00F63205" w:rsidRPr="00ED3B1C" w:rsidRDefault="00276162" w:rsidP="00A857D1">
      <w:pPr>
        <w:spacing w:before="240" w:after="200"/>
        <w:jc w:val="lowKashida"/>
        <w:rPr>
          <w:rFonts w:cs="Simplified Arabic"/>
          <w:rtl/>
        </w:rPr>
      </w:pPr>
      <w:r>
        <w:rPr>
          <w:rFonts w:cs="Simplified Arabic" w:hint="cs"/>
          <w:b/>
          <w:bCs/>
          <w:rtl/>
        </w:rPr>
        <w:t xml:space="preserve">شهدت الأراضي الفلسطينية </w:t>
      </w:r>
      <w:r w:rsidR="00B45AC2" w:rsidRPr="00ED3B1C">
        <w:rPr>
          <w:rFonts w:cs="Simplified Arabic" w:hint="cs"/>
          <w:b/>
          <w:bCs/>
          <w:rtl/>
        </w:rPr>
        <w:t>نمو</w:t>
      </w:r>
      <w:r>
        <w:rPr>
          <w:rFonts w:cs="Simplified Arabic" w:hint="cs"/>
          <w:b/>
          <w:bCs/>
          <w:rtl/>
        </w:rPr>
        <w:t>ا</w:t>
      </w:r>
      <w:r w:rsidR="00B45AC2" w:rsidRPr="00ED3B1C">
        <w:rPr>
          <w:rFonts w:cs="Simplified Arabic" w:hint="cs"/>
          <w:b/>
          <w:bCs/>
          <w:rtl/>
        </w:rPr>
        <w:t xml:space="preserve"> في </w:t>
      </w:r>
      <w:r>
        <w:rPr>
          <w:rFonts w:cs="Simplified Arabic" w:hint="cs"/>
          <w:b/>
          <w:bCs/>
          <w:rtl/>
        </w:rPr>
        <w:t>جميع</w:t>
      </w:r>
      <w:r w:rsidR="00B45AC2" w:rsidRPr="00ED3B1C">
        <w:rPr>
          <w:rFonts w:cs="Simplified Arabic" w:hint="cs"/>
          <w:b/>
          <w:bCs/>
          <w:rtl/>
        </w:rPr>
        <w:t xml:space="preserve"> الأنشطة الاقتصادية خلال العام </w:t>
      </w:r>
      <w:r w:rsidR="00A56F01" w:rsidRPr="00ED3B1C">
        <w:rPr>
          <w:rFonts w:cs="Simplified Arabic" w:hint="cs"/>
          <w:b/>
          <w:bCs/>
          <w:rtl/>
        </w:rPr>
        <w:t>2011</w:t>
      </w:r>
      <w:r>
        <w:rPr>
          <w:rFonts w:cs="Simplified Arabic" w:hint="cs"/>
          <w:b/>
          <w:bCs/>
          <w:rtl/>
        </w:rPr>
        <w:t xml:space="preserve">، </w:t>
      </w:r>
      <w:r w:rsidRPr="00276162">
        <w:rPr>
          <w:rFonts w:cs="Simplified Arabic" w:hint="cs"/>
          <w:b/>
          <w:bCs/>
          <w:rtl/>
        </w:rPr>
        <w:t>وتركز النمو في الأنشطة الاقتصادية الرئيسية ذات المساهمة الأعلى نسبياً في الناتج المحلي الإجمالي</w:t>
      </w:r>
      <w:r>
        <w:rPr>
          <w:rFonts w:cs="Simplified Arabic" w:hint="cs"/>
          <w:rtl/>
        </w:rPr>
        <w:t>.</w:t>
      </w:r>
      <w:r w:rsidR="00B45AC2" w:rsidRPr="00ED3B1C">
        <w:rPr>
          <w:rFonts w:cs="Simplified Arabic" w:hint="cs"/>
          <w:rtl/>
        </w:rPr>
        <w:t xml:space="preserve"> فقد سجل نشاط </w:t>
      </w:r>
      <w:r w:rsidR="00F53655" w:rsidRPr="00ED3B1C">
        <w:rPr>
          <w:rFonts w:cs="Simplified Arabic" w:hint="cs"/>
          <w:rtl/>
        </w:rPr>
        <w:t>الانشاءات</w:t>
      </w:r>
      <w:r w:rsidR="00B45AC2" w:rsidRPr="00ED3B1C">
        <w:rPr>
          <w:rFonts w:cs="Simplified Arabic" w:hint="cs"/>
          <w:rtl/>
        </w:rPr>
        <w:t xml:space="preserve"> أعلى نسبة نمو خلال العام </w:t>
      </w:r>
      <w:r w:rsidR="00A56F01" w:rsidRPr="00ED3B1C">
        <w:rPr>
          <w:rFonts w:cs="Simplified Arabic" w:hint="cs"/>
          <w:rtl/>
        </w:rPr>
        <w:t>2011</w:t>
      </w:r>
      <w:r w:rsidR="00B45AC2" w:rsidRPr="00ED3B1C">
        <w:rPr>
          <w:rFonts w:cs="Simplified Arabic" w:hint="cs"/>
          <w:rtl/>
        </w:rPr>
        <w:t xml:space="preserve"> </w:t>
      </w:r>
      <w:r>
        <w:rPr>
          <w:rFonts w:cs="Simplified Arabic" w:hint="cs"/>
          <w:rtl/>
        </w:rPr>
        <w:t xml:space="preserve">بلغت 26.9%، يلي ذلك </w:t>
      </w:r>
      <w:r w:rsidRPr="00ED3B1C">
        <w:rPr>
          <w:rFonts w:cs="Simplified Arabic" w:hint="cs"/>
          <w:rtl/>
        </w:rPr>
        <w:t>الإدارة العامة والدفاع</w:t>
      </w:r>
      <w:r>
        <w:rPr>
          <w:rFonts w:cs="Simplified Arabic" w:hint="cs"/>
          <w:rtl/>
        </w:rPr>
        <w:t xml:space="preserve"> 13</w:t>
      </w:r>
      <w:r w:rsidR="00A857D1">
        <w:rPr>
          <w:rFonts w:cs="Simplified Arabic" w:hint="cs"/>
          <w:rtl/>
        </w:rPr>
        <w:t>.0</w:t>
      </w:r>
      <w:r>
        <w:rPr>
          <w:rFonts w:cs="Simplified Arabic" w:hint="cs"/>
          <w:rtl/>
        </w:rPr>
        <w:t>% ثم النقل والتخزين 12.3% و</w:t>
      </w:r>
      <w:r w:rsidR="00B45AC2" w:rsidRPr="00ED3B1C">
        <w:rPr>
          <w:rFonts w:cs="Simplified Arabic" w:hint="cs"/>
          <w:rtl/>
        </w:rPr>
        <w:t xml:space="preserve">الزراعة وصيد </w:t>
      </w:r>
      <w:r w:rsidR="006D22E9" w:rsidRPr="00ED3B1C">
        <w:rPr>
          <w:rFonts w:cs="Simplified Arabic" w:hint="cs"/>
          <w:rtl/>
        </w:rPr>
        <w:t>الأسماك</w:t>
      </w:r>
      <w:r w:rsidR="00B45AC2" w:rsidRPr="00ED3B1C">
        <w:rPr>
          <w:rFonts w:cs="Simplified Arabic" w:hint="cs"/>
          <w:rtl/>
        </w:rPr>
        <w:t xml:space="preserve"> </w:t>
      </w:r>
      <w:r>
        <w:rPr>
          <w:rFonts w:cs="Simplified Arabic" w:hint="cs"/>
          <w:rtl/>
        </w:rPr>
        <w:t>9.9%.</w:t>
      </w:r>
      <w:r w:rsidR="00C10D0D">
        <w:rPr>
          <w:rFonts w:cs="Simplified Arabic" w:hint="cs"/>
          <w:rtl/>
        </w:rPr>
        <w:t xml:space="preserve"> </w:t>
      </w:r>
    </w:p>
    <w:p w:rsidR="00F63205" w:rsidRPr="00ED3B1C" w:rsidRDefault="00B45AC2" w:rsidP="005D630D">
      <w:pPr>
        <w:jc w:val="center"/>
        <w:rPr>
          <w:rFonts w:cs="Simplified Arabic"/>
          <w:b/>
          <w:bCs/>
          <w:sz w:val="22"/>
          <w:szCs w:val="22"/>
          <w:rtl/>
        </w:rPr>
      </w:pPr>
      <w:r w:rsidRPr="00ED3B1C">
        <w:rPr>
          <w:rFonts w:cs="Simplified Arabic" w:hint="cs"/>
          <w:b/>
          <w:bCs/>
          <w:sz w:val="22"/>
          <w:szCs w:val="22"/>
          <w:rtl/>
        </w:rPr>
        <w:t>جدول</w:t>
      </w:r>
      <w:r w:rsidR="0097130C">
        <w:rPr>
          <w:rFonts w:cs="Simplified Arabic" w:hint="cs"/>
          <w:b/>
          <w:bCs/>
          <w:sz w:val="22"/>
          <w:szCs w:val="22"/>
          <w:rtl/>
        </w:rPr>
        <w:t xml:space="preserve"> </w:t>
      </w:r>
      <w:r w:rsidR="00FD3AB5">
        <w:rPr>
          <w:rFonts w:cs="Simplified Arabic" w:hint="cs"/>
          <w:b/>
          <w:bCs/>
          <w:sz w:val="22"/>
          <w:szCs w:val="22"/>
          <w:rtl/>
        </w:rPr>
        <w:t>2</w:t>
      </w:r>
      <w:r w:rsidRPr="00ED3B1C">
        <w:rPr>
          <w:rFonts w:cs="Simplified Arabic" w:hint="cs"/>
          <w:b/>
          <w:bCs/>
          <w:sz w:val="22"/>
          <w:szCs w:val="22"/>
          <w:rtl/>
        </w:rPr>
        <w:t>: نسبة التغير في القيمة المضافة للأنشطة الاقتصادية</w:t>
      </w:r>
      <w:r w:rsidR="005D630D">
        <w:rPr>
          <w:rFonts w:cs="Simplified Arabic" w:hint="cs"/>
          <w:b/>
          <w:bCs/>
          <w:sz w:val="22"/>
          <w:szCs w:val="22"/>
          <w:rtl/>
        </w:rPr>
        <w:t xml:space="preserve"> </w:t>
      </w:r>
      <w:r w:rsidR="005D630D" w:rsidRPr="004F33D8">
        <w:rPr>
          <w:rFonts w:cs="Simplified Arabic" w:hint="cs"/>
          <w:b/>
          <w:bCs/>
          <w:sz w:val="22"/>
          <w:szCs w:val="22"/>
          <w:rtl/>
        </w:rPr>
        <w:t>في الأراضي الفلسطينية</w:t>
      </w:r>
      <w:r w:rsidR="005D630D">
        <w:rPr>
          <w:rFonts w:cs="Simplified Arabic" w:hint="cs"/>
          <w:b/>
          <w:bCs/>
          <w:sz w:val="22"/>
          <w:szCs w:val="22"/>
          <w:rtl/>
        </w:rPr>
        <w:t>،</w:t>
      </w:r>
      <w:r w:rsidRPr="00ED3B1C">
        <w:rPr>
          <w:rFonts w:cs="Simplified Arabic" w:hint="cs"/>
          <w:b/>
          <w:bCs/>
          <w:sz w:val="22"/>
          <w:szCs w:val="22"/>
          <w:rtl/>
        </w:rPr>
        <w:t xml:space="preserve"> </w:t>
      </w:r>
      <w:r w:rsidR="005D630D">
        <w:rPr>
          <w:rFonts w:cs="Simplified Arabic" w:hint="cs"/>
          <w:b/>
          <w:bCs/>
          <w:sz w:val="22"/>
          <w:szCs w:val="22"/>
          <w:rtl/>
        </w:rPr>
        <w:t>(</w:t>
      </w:r>
      <w:r w:rsidR="005C51C8" w:rsidRPr="00ED3B1C">
        <w:rPr>
          <w:rFonts w:cs="Simplified Arabic" w:hint="cs"/>
          <w:b/>
          <w:bCs/>
          <w:sz w:val="22"/>
          <w:szCs w:val="22"/>
          <w:rtl/>
        </w:rPr>
        <w:t>201</w:t>
      </w:r>
      <w:r w:rsidR="005D630D">
        <w:rPr>
          <w:rFonts w:cs="Simplified Arabic" w:hint="cs"/>
          <w:b/>
          <w:bCs/>
          <w:sz w:val="22"/>
          <w:szCs w:val="22"/>
          <w:rtl/>
        </w:rPr>
        <w:t>0، 2011)</w:t>
      </w:r>
      <w:r w:rsidRPr="00ED3B1C">
        <w:rPr>
          <w:rFonts w:cs="Simplified Arabic" w:hint="cs"/>
          <w:b/>
          <w:bCs/>
          <w:sz w:val="22"/>
          <w:szCs w:val="22"/>
          <w:rtl/>
        </w:rPr>
        <w:t xml:space="preserve"> </w:t>
      </w:r>
    </w:p>
    <w:p w:rsidR="00F63205" w:rsidRPr="00ED3B1C" w:rsidRDefault="00B45AC2">
      <w:pPr>
        <w:ind w:left="-334"/>
        <w:jc w:val="lowKashida"/>
        <w:rPr>
          <w:rFonts w:cs="Simplified Arabic"/>
          <w:sz w:val="18"/>
          <w:szCs w:val="18"/>
          <w:rtl/>
        </w:rPr>
      </w:pPr>
      <w:r w:rsidRPr="00ED3B1C">
        <w:rPr>
          <w:rFonts w:cs="Simplified Arabic" w:hint="cs"/>
          <w:sz w:val="18"/>
          <w:szCs w:val="18"/>
          <w:rtl/>
        </w:rPr>
        <w:t xml:space="preserve">    </w:t>
      </w:r>
      <w:r w:rsidR="00A857D1">
        <w:rPr>
          <w:rFonts w:cs="Simplified Arabic" w:hint="cs"/>
          <w:sz w:val="18"/>
          <w:szCs w:val="18"/>
          <w:rtl/>
        </w:rPr>
        <w:t xml:space="preserve">  </w:t>
      </w:r>
      <w:r w:rsidRPr="00ED3B1C">
        <w:rPr>
          <w:rFonts w:cs="Simplified Arabic" w:hint="cs"/>
          <w:sz w:val="18"/>
          <w:szCs w:val="18"/>
          <w:rtl/>
        </w:rPr>
        <w:t>(القيمة بالمليون دولار أمريكي)</w:t>
      </w:r>
    </w:p>
    <w:tbl>
      <w:tblPr>
        <w:bidiVisual/>
        <w:tblW w:w="92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979"/>
        <w:gridCol w:w="1239"/>
        <w:gridCol w:w="1146"/>
        <w:gridCol w:w="946"/>
        <w:gridCol w:w="1047"/>
        <w:gridCol w:w="893"/>
      </w:tblGrid>
      <w:tr w:rsidR="00265E1A" w:rsidRPr="00ED3B1C" w:rsidTr="00E00BA3">
        <w:trPr>
          <w:cantSplit/>
          <w:trHeight w:val="366"/>
          <w:jc w:val="center"/>
        </w:trPr>
        <w:tc>
          <w:tcPr>
            <w:tcW w:w="3979" w:type="dxa"/>
            <w:vMerge w:val="restart"/>
            <w:tcBorders>
              <w:top w:val="single" w:sz="12" w:space="0" w:color="auto"/>
              <w:left w:val="nil"/>
              <w:bottom w:val="single" w:sz="12" w:space="0" w:color="auto"/>
              <w:right w:val="nil"/>
            </w:tcBorders>
          </w:tcPr>
          <w:p w:rsidR="00265E1A" w:rsidRPr="00FB36FA" w:rsidRDefault="00265E1A">
            <w:pPr>
              <w:rPr>
                <w:rFonts w:ascii="Arial" w:hAnsi="Arial" w:cs="Arial"/>
                <w:sz w:val="18"/>
                <w:szCs w:val="18"/>
                <w:rtl/>
              </w:rPr>
            </w:pPr>
            <w:bookmarkStart w:id="1" w:name="_Hlk286609729"/>
          </w:p>
          <w:p w:rsidR="00265E1A" w:rsidRPr="00FB36FA" w:rsidRDefault="00265E1A">
            <w:pPr>
              <w:rPr>
                <w:rFonts w:ascii="Arial" w:hAnsi="Arial" w:cs="Arial"/>
                <w:sz w:val="18"/>
                <w:szCs w:val="18"/>
              </w:rPr>
            </w:pPr>
            <w:r w:rsidRPr="00FB36FA">
              <w:rPr>
                <w:rFonts w:ascii="Arial" w:hAnsi="Arial" w:cs="Arial"/>
                <w:b/>
                <w:bCs/>
                <w:sz w:val="18"/>
                <w:szCs w:val="18"/>
                <w:rtl/>
              </w:rPr>
              <w:t>النشاط الاقتصادي</w:t>
            </w:r>
          </w:p>
        </w:tc>
        <w:tc>
          <w:tcPr>
            <w:tcW w:w="3331" w:type="dxa"/>
            <w:gridSpan w:val="3"/>
            <w:tcBorders>
              <w:top w:val="single" w:sz="12" w:space="0" w:color="auto"/>
              <w:left w:val="nil"/>
              <w:bottom w:val="single" w:sz="12" w:space="0" w:color="auto"/>
              <w:right w:val="nil"/>
            </w:tcBorders>
            <w:vAlign w:val="center"/>
          </w:tcPr>
          <w:p w:rsidR="00265E1A" w:rsidRPr="00FB36FA" w:rsidRDefault="00265E1A" w:rsidP="00E00BA3">
            <w:pPr>
              <w:jc w:val="center"/>
              <w:rPr>
                <w:rFonts w:ascii="Arial" w:hAnsi="Arial" w:cs="Arial"/>
                <w:b/>
                <w:bCs/>
                <w:sz w:val="18"/>
                <w:szCs w:val="18"/>
              </w:rPr>
            </w:pPr>
            <w:r w:rsidRPr="00FB36FA">
              <w:rPr>
                <w:rFonts w:ascii="Arial" w:hAnsi="Arial" w:cs="Arial"/>
                <w:b/>
                <w:bCs/>
                <w:sz w:val="18"/>
                <w:szCs w:val="18"/>
                <w:rtl/>
              </w:rPr>
              <w:t>الأراضي الفلسطينية</w:t>
            </w:r>
          </w:p>
        </w:tc>
        <w:tc>
          <w:tcPr>
            <w:tcW w:w="1047" w:type="dxa"/>
            <w:vMerge w:val="restart"/>
            <w:tcBorders>
              <w:top w:val="single" w:sz="12" w:space="0" w:color="auto"/>
              <w:left w:val="nil"/>
              <w:bottom w:val="single" w:sz="12" w:space="0" w:color="auto"/>
              <w:right w:val="nil"/>
            </w:tcBorders>
            <w:vAlign w:val="center"/>
          </w:tcPr>
          <w:p w:rsidR="00265E1A" w:rsidRPr="00FB36FA" w:rsidRDefault="00265E1A" w:rsidP="00E00BA3">
            <w:pPr>
              <w:rPr>
                <w:rFonts w:ascii="Arial" w:hAnsi="Arial" w:cs="Arial"/>
                <w:b/>
                <w:bCs/>
                <w:sz w:val="18"/>
                <w:szCs w:val="18"/>
              </w:rPr>
            </w:pPr>
            <w:r w:rsidRPr="00FB36FA">
              <w:rPr>
                <w:rFonts w:ascii="Arial" w:hAnsi="Arial" w:cs="Arial"/>
                <w:b/>
                <w:bCs/>
                <w:sz w:val="18"/>
                <w:szCs w:val="18"/>
                <w:rtl/>
              </w:rPr>
              <w:t>نسبة التغير في الضفة الغربية</w:t>
            </w:r>
          </w:p>
        </w:tc>
        <w:tc>
          <w:tcPr>
            <w:tcW w:w="893" w:type="dxa"/>
            <w:vMerge w:val="restart"/>
            <w:tcBorders>
              <w:top w:val="single" w:sz="12" w:space="0" w:color="auto"/>
              <w:left w:val="nil"/>
              <w:bottom w:val="single" w:sz="12" w:space="0" w:color="auto"/>
              <w:right w:val="nil"/>
            </w:tcBorders>
            <w:vAlign w:val="center"/>
          </w:tcPr>
          <w:p w:rsidR="00265E1A" w:rsidRPr="00FB36FA" w:rsidRDefault="00265E1A" w:rsidP="00E00BA3">
            <w:pPr>
              <w:rPr>
                <w:rFonts w:ascii="Arial" w:hAnsi="Arial" w:cs="Arial"/>
                <w:b/>
                <w:bCs/>
                <w:sz w:val="18"/>
                <w:szCs w:val="18"/>
              </w:rPr>
            </w:pPr>
            <w:r w:rsidRPr="00FB36FA">
              <w:rPr>
                <w:rFonts w:ascii="Arial" w:hAnsi="Arial" w:cs="Arial"/>
                <w:b/>
                <w:bCs/>
                <w:sz w:val="18"/>
                <w:szCs w:val="18"/>
                <w:rtl/>
              </w:rPr>
              <w:t>نسبة التغير في قطاع غزة</w:t>
            </w:r>
          </w:p>
        </w:tc>
      </w:tr>
      <w:bookmarkEnd w:id="1"/>
      <w:tr w:rsidR="00265E1A" w:rsidRPr="00ED3B1C" w:rsidTr="00E00BA3">
        <w:trPr>
          <w:cantSplit/>
          <w:trHeight w:val="183"/>
          <w:jc w:val="center"/>
        </w:trPr>
        <w:tc>
          <w:tcPr>
            <w:tcW w:w="3979" w:type="dxa"/>
            <w:vMerge/>
            <w:tcBorders>
              <w:top w:val="single" w:sz="12" w:space="0" w:color="auto"/>
              <w:left w:val="nil"/>
              <w:bottom w:val="single" w:sz="12" w:space="0" w:color="auto"/>
              <w:right w:val="nil"/>
            </w:tcBorders>
          </w:tcPr>
          <w:p w:rsidR="00265E1A" w:rsidRPr="00FB36FA" w:rsidRDefault="00265E1A">
            <w:pPr>
              <w:jc w:val="center"/>
              <w:rPr>
                <w:rFonts w:ascii="Arial" w:hAnsi="Arial" w:cs="Arial"/>
                <w:b/>
                <w:bCs/>
                <w:sz w:val="18"/>
                <w:szCs w:val="18"/>
                <w:rtl/>
              </w:rPr>
            </w:pPr>
          </w:p>
        </w:tc>
        <w:tc>
          <w:tcPr>
            <w:tcW w:w="1239" w:type="dxa"/>
            <w:tcBorders>
              <w:top w:val="single" w:sz="12" w:space="0" w:color="auto"/>
              <w:left w:val="nil"/>
              <w:bottom w:val="single" w:sz="12" w:space="0" w:color="auto"/>
              <w:right w:val="nil"/>
            </w:tcBorders>
            <w:vAlign w:val="center"/>
          </w:tcPr>
          <w:p w:rsidR="00265E1A" w:rsidRPr="00FB36FA" w:rsidRDefault="00265E1A" w:rsidP="00E00BA3">
            <w:pPr>
              <w:rPr>
                <w:rFonts w:ascii="Arial" w:hAnsi="Arial" w:cs="Arial"/>
                <w:b/>
                <w:bCs/>
                <w:sz w:val="18"/>
                <w:szCs w:val="18"/>
              </w:rPr>
            </w:pPr>
            <w:r w:rsidRPr="00FB36FA">
              <w:rPr>
                <w:rFonts w:ascii="Arial" w:hAnsi="Arial" w:cs="Arial"/>
                <w:b/>
                <w:bCs/>
                <w:sz w:val="18"/>
                <w:szCs w:val="18"/>
                <w:rtl/>
              </w:rPr>
              <w:t xml:space="preserve">القيمة المضافة </w:t>
            </w:r>
            <w:r w:rsidR="00607CB3" w:rsidRPr="00FB36FA">
              <w:rPr>
                <w:rFonts w:ascii="Arial" w:hAnsi="Arial" w:cs="Arial"/>
                <w:b/>
                <w:bCs/>
                <w:sz w:val="18"/>
                <w:szCs w:val="18"/>
              </w:rPr>
              <w:t>2010</w:t>
            </w:r>
          </w:p>
        </w:tc>
        <w:tc>
          <w:tcPr>
            <w:tcW w:w="1146" w:type="dxa"/>
            <w:tcBorders>
              <w:top w:val="single" w:sz="12" w:space="0" w:color="auto"/>
              <w:left w:val="nil"/>
              <w:bottom w:val="single" w:sz="12" w:space="0" w:color="auto"/>
              <w:right w:val="nil"/>
            </w:tcBorders>
            <w:vAlign w:val="center"/>
          </w:tcPr>
          <w:p w:rsidR="00265E1A" w:rsidRPr="00FB36FA" w:rsidRDefault="00265E1A" w:rsidP="00E00BA3">
            <w:pPr>
              <w:rPr>
                <w:rFonts w:ascii="Arial" w:hAnsi="Arial" w:cs="Arial"/>
                <w:b/>
                <w:bCs/>
                <w:sz w:val="18"/>
                <w:szCs w:val="18"/>
              </w:rPr>
            </w:pPr>
            <w:r w:rsidRPr="00FB36FA">
              <w:rPr>
                <w:rFonts w:ascii="Arial" w:hAnsi="Arial" w:cs="Arial"/>
                <w:b/>
                <w:bCs/>
                <w:sz w:val="18"/>
                <w:szCs w:val="18"/>
                <w:rtl/>
              </w:rPr>
              <w:t xml:space="preserve">القيمة المضافة </w:t>
            </w:r>
            <w:r w:rsidR="00607CB3" w:rsidRPr="00FB36FA">
              <w:rPr>
                <w:rFonts w:ascii="Arial" w:hAnsi="Arial" w:cs="Arial"/>
                <w:b/>
                <w:bCs/>
                <w:sz w:val="18"/>
                <w:szCs w:val="18"/>
              </w:rPr>
              <w:t>2011</w:t>
            </w:r>
          </w:p>
        </w:tc>
        <w:tc>
          <w:tcPr>
            <w:tcW w:w="946" w:type="dxa"/>
            <w:tcBorders>
              <w:top w:val="single" w:sz="12" w:space="0" w:color="auto"/>
              <w:left w:val="nil"/>
              <w:bottom w:val="single" w:sz="12" w:space="0" w:color="auto"/>
              <w:right w:val="nil"/>
            </w:tcBorders>
            <w:vAlign w:val="center"/>
          </w:tcPr>
          <w:p w:rsidR="00265E1A" w:rsidRPr="00FB36FA" w:rsidRDefault="00265E1A" w:rsidP="00E00BA3">
            <w:pPr>
              <w:rPr>
                <w:rFonts w:ascii="Arial" w:hAnsi="Arial" w:cs="Arial"/>
                <w:b/>
                <w:bCs/>
                <w:sz w:val="18"/>
                <w:szCs w:val="18"/>
              </w:rPr>
            </w:pPr>
            <w:r w:rsidRPr="00FB36FA">
              <w:rPr>
                <w:rFonts w:ascii="Arial" w:hAnsi="Arial" w:cs="Arial"/>
                <w:b/>
                <w:bCs/>
                <w:sz w:val="18"/>
                <w:szCs w:val="18"/>
                <w:rtl/>
              </w:rPr>
              <w:t>نسبة التغير</w:t>
            </w:r>
          </w:p>
        </w:tc>
        <w:tc>
          <w:tcPr>
            <w:tcW w:w="1047" w:type="dxa"/>
            <w:vMerge/>
            <w:tcBorders>
              <w:top w:val="single" w:sz="12" w:space="0" w:color="auto"/>
              <w:left w:val="nil"/>
              <w:bottom w:val="single" w:sz="12" w:space="0" w:color="auto"/>
              <w:right w:val="nil"/>
            </w:tcBorders>
          </w:tcPr>
          <w:p w:rsidR="00265E1A" w:rsidRPr="00FB36FA" w:rsidRDefault="00265E1A">
            <w:pPr>
              <w:jc w:val="center"/>
              <w:rPr>
                <w:rFonts w:ascii="Arial" w:hAnsi="Arial" w:cs="Arial"/>
                <w:b/>
                <w:bCs/>
                <w:sz w:val="18"/>
                <w:szCs w:val="18"/>
              </w:rPr>
            </w:pPr>
          </w:p>
        </w:tc>
        <w:tc>
          <w:tcPr>
            <w:tcW w:w="893" w:type="dxa"/>
            <w:vMerge/>
            <w:tcBorders>
              <w:top w:val="single" w:sz="12" w:space="0" w:color="auto"/>
              <w:left w:val="nil"/>
              <w:bottom w:val="single" w:sz="12" w:space="0" w:color="auto"/>
              <w:right w:val="nil"/>
            </w:tcBorders>
          </w:tcPr>
          <w:p w:rsidR="00265E1A" w:rsidRPr="00FB36FA" w:rsidRDefault="00265E1A">
            <w:pPr>
              <w:jc w:val="center"/>
              <w:rPr>
                <w:rFonts w:ascii="Arial" w:hAnsi="Arial" w:cs="Arial"/>
                <w:b/>
                <w:bCs/>
                <w:sz w:val="18"/>
                <w:szCs w:val="18"/>
              </w:rPr>
            </w:pPr>
          </w:p>
        </w:tc>
      </w:tr>
      <w:tr w:rsidR="00265E1A" w:rsidRPr="00ED3B1C" w:rsidTr="00E00BA3">
        <w:trPr>
          <w:trHeight w:val="306"/>
          <w:jc w:val="center"/>
        </w:trPr>
        <w:tc>
          <w:tcPr>
            <w:tcW w:w="3979" w:type="dxa"/>
            <w:tcBorders>
              <w:top w:val="single" w:sz="12" w:space="0" w:color="auto"/>
              <w:left w:val="nil"/>
              <w:bottom w:val="nil"/>
              <w:right w:val="nil"/>
            </w:tcBorders>
            <w:vAlign w:val="center"/>
          </w:tcPr>
          <w:p w:rsidR="00265E1A" w:rsidRPr="00FB36FA" w:rsidRDefault="00265E1A" w:rsidP="00E00BA3">
            <w:pPr>
              <w:rPr>
                <w:rFonts w:ascii="Arial" w:hAnsi="Arial" w:cs="Arial"/>
                <w:sz w:val="18"/>
                <w:szCs w:val="18"/>
                <w:rtl/>
              </w:rPr>
            </w:pPr>
            <w:bookmarkStart w:id="2" w:name="_Hlk319403092"/>
            <w:r w:rsidRPr="00FB36FA">
              <w:rPr>
                <w:rFonts w:ascii="Arial" w:hAnsi="Arial" w:cs="Arial"/>
                <w:sz w:val="18"/>
                <w:szCs w:val="18"/>
                <w:rtl/>
              </w:rPr>
              <w:t>الزراعة</w:t>
            </w:r>
            <w:r w:rsidR="005C51C8" w:rsidRPr="00FB36FA">
              <w:rPr>
                <w:rFonts w:ascii="Arial" w:hAnsi="Arial" w:cs="Arial"/>
                <w:sz w:val="18"/>
                <w:szCs w:val="18"/>
                <w:rtl/>
              </w:rPr>
              <w:t xml:space="preserve"> </w:t>
            </w:r>
            <w:proofErr w:type="spellStart"/>
            <w:r w:rsidR="005C51C8" w:rsidRPr="00FB36FA">
              <w:rPr>
                <w:rFonts w:ascii="Arial" w:hAnsi="Arial" w:cs="Arial"/>
                <w:sz w:val="18"/>
                <w:szCs w:val="18"/>
                <w:rtl/>
              </w:rPr>
              <w:t>والحراجة</w:t>
            </w:r>
            <w:proofErr w:type="spellEnd"/>
            <w:r w:rsidRPr="00FB36FA">
              <w:rPr>
                <w:rFonts w:ascii="Arial" w:hAnsi="Arial" w:cs="Arial"/>
                <w:sz w:val="18"/>
                <w:szCs w:val="18"/>
                <w:rtl/>
              </w:rPr>
              <w:t xml:space="preserve"> وصيد الأسماك</w:t>
            </w:r>
          </w:p>
        </w:tc>
        <w:tc>
          <w:tcPr>
            <w:tcW w:w="1239" w:type="dxa"/>
            <w:tcBorders>
              <w:top w:val="single" w:sz="12" w:space="0" w:color="auto"/>
              <w:left w:val="nil"/>
              <w:bottom w:val="nil"/>
              <w:right w:val="nil"/>
            </w:tcBorders>
            <w:vAlign w:val="center"/>
          </w:tcPr>
          <w:p w:rsidR="00265E1A" w:rsidRPr="00FB36FA" w:rsidRDefault="00607CB3">
            <w:pPr>
              <w:bidi w:val="0"/>
              <w:jc w:val="right"/>
              <w:rPr>
                <w:rFonts w:ascii="Arial" w:hAnsi="Arial" w:cs="Arial"/>
                <w:sz w:val="18"/>
                <w:szCs w:val="18"/>
              </w:rPr>
            </w:pPr>
            <w:r w:rsidRPr="00FB36FA">
              <w:rPr>
                <w:rFonts w:ascii="Arial" w:hAnsi="Arial" w:cs="Arial"/>
                <w:sz w:val="18"/>
                <w:szCs w:val="18"/>
              </w:rPr>
              <w:t>314.9</w:t>
            </w:r>
          </w:p>
        </w:tc>
        <w:tc>
          <w:tcPr>
            <w:tcW w:w="1146" w:type="dxa"/>
            <w:tcBorders>
              <w:top w:val="single" w:sz="12" w:space="0" w:color="auto"/>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346.1</w:t>
            </w:r>
          </w:p>
        </w:tc>
        <w:tc>
          <w:tcPr>
            <w:tcW w:w="946" w:type="dxa"/>
            <w:tcBorders>
              <w:top w:val="single" w:sz="12" w:space="0" w:color="auto"/>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9.9</w:t>
            </w:r>
          </w:p>
        </w:tc>
        <w:tc>
          <w:tcPr>
            <w:tcW w:w="1047" w:type="dxa"/>
            <w:tcBorders>
              <w:top w:val="single" w:sz="12" w:space="0" w:color="auto"/>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3.4</w:t>
            </w:r>
          </w:p>
        </w:tc>
        <w:tc>
          <w:tcPr>
            <w:tcW w:w="893" w:type="dxa"/>
            <w:tcBorders>
              <w:top w:val="single" w:sz="12" w:space="0" w:color="auto"/>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23.4</w:t>
            </w:r>
          </w:p>
        </w:tc>
      </w:tr>
      <w:tr w:rsidR="00265E1A" w:rsidRPr="00ED3B1C" w:rsidTr="00D34BE3">
        <w:trPr>
          <w:trHeight w:val="306"/>
          <w:jc w:val="center"/>
        </w:trPr>
        <w:tc>
          <w:tcPr>
            <w:tcW w:w="3979" w:type="dxa"/>
            <w:tcBorders>
              <w:top w:val="nil"/>
              <w:left w:val="nil"/>
              <w:bottom w:val="nil"/>
              <w:right w:val="nil"/>
            </w:tcBorders>
          </w:tcPr>
          <w:p w:rsidR="00265E1A" w:rsidRPr="00FB36FA" w:rsidRDefault="00265E1A" w:rsidP="005C51C8">
            <w:pPr>
              <w:ind w:right="4"/>
              <w:jc w:val="lowKashida"/>
              <w:rPr>
                <w:rFonts w:ascii="Arial" w:eastAsia="Arial Unicode MS" w:hAnsi="Arial" w:cs="Arial"/>
                <w:sz w:val="18"/>
                <w:szCs w:val="18"/>
              </w:rPr>
            </w:pPr>
            <w:r w:rsidRPr="00FB36FA">
              <w:rPr>
                <w:rFonts w:ascii="Arial" w:hAnsi="Arial" w:cs="Arial"/>
                <w:sz w:val="18"/>
                <w:szCs w:val="18"/>
                <w:rtl/>
              </w:rPr>
              <w:t>التعدين، الصناعة التحويلية والمياه والكهرباء</w:t>
            </w:r>
          </w:p>
        </w:tc>
        <w:tc>
          <w:tcPr>
            <w:tcW w:w="1239" w:type="dxa"/>
            <w:tcBorders>
              <w:top w:val="nil"/>
              <w:left w:val="nil"/>
              <w:bottom w:val="nil"/>
              <w:right w:val="nil"/>
            </w:tcBorders>
            <w:vAlign w:val="center"/>
          </w:tcPr>
          <w:p w:rsidR="00265E1A" w:rsidRPr="00FB36FA" w:rsidRDefault="00607CB3">
            <w:pPr>
              <w:bidi w:val="0"/>
              <w:jc w:val="right"/>
              <w:rPr>
                <w:rFonts w:ascii="Arial" w:hAnsi="Arial" w:cs="Arial"/>
                <w:sz w:val="18"/>
                <w:szCs w:val="18"/>
              </w:rPr>
            </w:pPr>
            <w:r w:rsidRPr="00FB36FA">
              <w:rPr>
                <w:rFonts w:ascii="Arial" w:hAnsi="Arial" w:cs="Arial"/>
                <w:sz w:val="18"/>
                <w:szCs w:val="18"/>
              </w:rPr>
              <w:t>742.5</w:t>
            </w:r>
          </w:p>
        </w:tc>
        <w:tc>
          <w:tcPr>
            <w:tcW w:w="11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798.7</w:t>
            </w:r>
          </w:p>
        </w:tc>
        <w:tc>
          <w:tcPr>
            <w:tcW w:w="946" w:type="dxa"/>
            <w:tcBorders>
              <w:top w:val="nil"/>
              <w:left w:val="nil"/>
              <w:bottom w:val="nil"/>
              <w:right w:val="nil"/>
            </w:tcBorders>
            <w:vAlign w:val="center"/>
          </w:tcPr>
          <w:p w:rsidR="00265E1A" w:rsidRPr="00FB36FA" w:rsidRDefault="00F53655" w:rsidP="005C51C8">
            <w:pPr>
              <w:bidi w:val="0"/>
              <w:jc w:val="right"/>
              <w:rPr>
                <w:rFonts w:ascii="Arial" w:hAnsi="Arial" w:cs="Arial"/>
                <w:sz w:val="18"/>
                <w:szCs w:val="18"/>
              </w:rPr>
            </w:pPr>
            <w:r w:rsidRPr="00FB36FA">
              <w:rPr>
                <w:rFonts w:ascii="Arial" w:hAnsi="Arial" w:cs="Arial"/>
                <w:sz w:val="18"/>
                <w:szCs w:val="18"/>
              </w:rPr>
              <w:t>7.6</w:t>
            </w:r>
          </w:p>
        </w:tc>
        <w:tc>
          <w:tcPr>
            <w:tcW w:w="1047"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7.1</w:t>
            </w:r>
          </w:p>
        </w:tc>
        <w:tc>
          <w:tcPr>
            <w:tcW w:w="893"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9.5</w:t>
            </w:r>
          </w:p>
        </w:tc>
      </w:tr>
      <w:tr w:rsidR="00265E1A" w:rsidRPr="00ED3B1C" w:rsidTr="00D34BE3">
        <w:trPr>
          <w:trHeight w:val="306"/>
          <w:jc w:val="center"/>
        </w:trPr>
        <w:tc>
          <w:tcPr>
            <w:tcW w:w="3979" w:type="dxa"/>
            <w:tcBorders>
              <w:top w:val="nil"/>
              <w:left w:val="nil"/>
              <w:bottom w:val="nil"/>
              <w:right w:val="nil"/>
            </w:tcBorders>
          </w:tcPr>
          <w:p w:rsidR="00265E1A" w:rsidRPr="00FB36FA" w:rsidRDefault="00265E1A">
            <w:pPr>
              <w:jc w:val="lowKashida"/>
              <w:rPr>
                <w:rFonts w:ascii="Arial" w:eastAsia="Arial Unicode MS" w:hAnsi="Arial" w:cs="Arial"/>
                <w:sz w:val="18"/>
                <w:szCs w:val="18"/>
              </w:rPr>
            </w:pPr>
            <w:r w:rsidRPr="00FB36FA">
              <w:rPr>
                <w:rFonts w:ascii="Arial" w:hAnsi="Arial" w:cs="Arial"/>
                <w:sz w:val="18"/>
                <w:szCs w:val="18"/>
                <w:rtl/>
              </w:rPr>
              <w:t>الإنشاءات</w:t>
            </w:r>
          </w:p>
        </w:tc>
        <w:tc>
          <w:tcPr>
            <w:tcW w:w="1239" w:type="dxa"/>
            <w:tcBorders>
              <w:top w:val="nil"/>
              <w:left w:val="nil"/>
              <w:bottom w:val="nil"/>
              <w:right w:val="nil"/>
            </w:tcBorders>
            <w:vAlign w:val="center"/>
          </w:tcPr>
          <w:p w:rsidR="00265E1A" w:rsidRPr="00FB36FA" w:rsidRDefault="00607CB3">
            <w:pPr>
              <w:bidi w:val="0"/>
              <w:jc w:val="right"/>
              <w:rPr>
                <w:rFonts w:ascii="Arial" w:hAnsi="Arial" w:cs="Arial"/>
                <w:sz w:val="18"/>
                <w:szCs w:val="18"/>
              </w:rPr>
            </w:pPr>
            <w:r w:rsidRPr="00FB36FA">
              <w:rPr>
                <w:rFonts w:ascii="Arial" w:hAnsi="Arial" w:cs="Arial"/>
                <w:sz w:val="18"/>
                <w:szCs w:val="18"/>
              </w:rPr>
              <w:t>557.9</w:t>
            </w:r>
          </w:p>
        </w:tc>
        <w:tc>
          <w:tcPr>
            <w:tcW w:w="11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708.2</w:t>
            </w:r>
          </w:p>
        </w:tc>
        <w:tc>
          <w:tcPr>
            <w:tcW w:w="9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26.9</w:t>
            </w:r>
          </w:p>
        </w:tc>
        <w:tc>
          <w:tcPr>
            <w:tcW w:w="1047"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2.0</w:t>
            </w:r>
          </w:p>
        </w:tc>
        <w:tc>
          <w:tcPr>
            <w:tcW w:w="893"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119.0</w:t>
            </w:r>
          </w:p>
        </w:tc>
      </w:tr>
      <w:tr w:rsidR="00265E1A" w:rsidRPr="00ED3B1C" w:rsidTr="00D34BE3">
        <w:trPr>
          <w:trHeight w:val="306"/>
          <w:jc w:val="center"/>
        </w:trPr>
        <w:tc>
          <w:tcPr>
            <w:tcW w:w="3979" w:type="dxa"/>
            <w:tcBorders>
              <w:top w:val="nil"/>
              <w:left w:val="nil"/>
              <w:bottom w:val="nil"/>
              <w:right w:val="nil"/>
            </w:tcBorders>
          </w:tcPr>
          <w:p w:rsidR="00265E1A" w:rsidRPr="00FB36FA" w:rsidRDefault="00265E1A" w:rsidP="00EC71FA">
            <w:pPr>
              <w:jc w:val="lowKashida"/>
              <w:rPr>
                <w:rFonts w:ascii="Arial" w:eastAsia="Arial Unicode MS" w:hAnsi="Arial" w:cs="Arial"/>
                <w:sz w:val="18"/>
                <w:szCs w:val="18"/>
              </w:rPr>
            </w:pPr>
            <w:r w:rsidRPr="00FB36FA">
              <w:rPr>
                <w:rFonts w:ascii="Arial" w:hAnsi="Arial" w:cs="Arial"/>
                <w:sz w:val="18"/>
                <w:szCs w:val="18"/>
                <w:rtl/>
              </w:rPr>
              <w:t>تجارة الجملة والتجزئة</w:t>
            </w:r>
            <w:r w:rsidR="00F53655" w:rsidRPr="00FB36FA">
              <w:rPr>
                <w:rFonts w:ascii="Arial" w:hAnsi="Arial" w:cs="Arial"/>
                <w:sz w:val="18"/>
                <w:szCs w:val="18"/>
                <w:rtl/>
              </w:rPr>
              <w:t xml:space="preserve"> </w:t>
            </w:r>
            <w:r w:rsidR="00273BAE" w:rsidRPr="00FB36FA">
              <w:rPr>
                <w:rFonts w:ascii="Arial" w:hAnsi="Arial" w:cs="Arial"/>
                <w:sz w:val="18"/>
                <w:szCs w:val="18"/>
                <w:rtl/>
              </w:rPr>
              <w:t>وإصلاح</w:t>
            </w:r>
            <w:r w:rsidR="00F53655" w:rsidRPr="00FB36FA">
              <w:rPr>
                <w:rFonts w:ascii="Arial" w:hAnsi="Arial" w:cs="Arial"/>
                <w:sz w:val="18"/>
                <w:szCs w:val="18"/>
                <w:rtl/>
              </w:rPr>
              <w:t xml:space="preserve"> المركبات والدراجات النارية</w:t>
            </w:r>
            <w:r w:rsidR="005C51C8" w:rsidRPr="00FB36FA">
              <w:rPr>
                <w:rFonts w:ascii="Arial" w:hAnsi="Arial" w:cs="Arial"/>
                <w:sz w:val="18"/>
                <w:szCs w:val="18"/>
                <w:rtl/>
              </w:rPr>
              <w:t xml:space="preserve"> </w:t>
            </w:r>
          </w:p>
        </w:tc>
        <w:tc>
          <w:tcPr>
            <w:tcW w:w="1239" w:type="dxa"/>
            <w:tcBorders>
              <w:top w:val="nil"/>
              <w:left w:val="nil"/>
              <w:bottom w:val="nil"/>
              <w:right w:val="nil"/>
            </w:tcBorders>
            <w:vAlign w:val="center"/>
          </w:tcPr>
          <w:p w:rsidR="00265E1A" w:rsidRPr="00FB36FA" w:rsidRDefault="00607CB3">
            <w:pPr>
              <w:bidi w:val="0"/>
              <w:jc w:val="right"/>
              <w:rPr>
                <w:rFonts w:ascii="Arial" w:hAnsi="Arial" w:cs="Arial"/>
                <w:sz w:val="18"/>
                <w:szCs w:val="18"/>
              </w:rPr>
            </w:pPr>
            <w:r w:rsidRPr="00FB36FA">
              <w:rPr>
                <w:rFonts w:ascii="Arial" w:hAnsi="Arial" w:cs="Arial"/>
                <w:sz w:val="18"/>
                <w:szCs w:val="18"/>
              </w:rPr>
              <w:t>538.8</w:t>
            </w:r>
          </w:p>
        </w:tc>
        <w:tc>
          <w:tcPr>
            <w:tcW w:w="11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587.0</w:t>
            </w:r>
          </w:p>
        </w:tc>
        <w:tc>
          <w:tcPr>
            <w:tcW w:w="9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8.9</w:t>
            </w:r>
          </w:p>
        </w:tc>
        <w:tc>
          <w:tcPr>
            <w:tcW w:w="1047"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5.2</w:t>
            </w:r>
          </w:p>
        </w:tc>
        <w:tc>
          <w:tcPr>
            <w:tcW w:w="893"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20.1</w:t>
            </w:r>
          </w:p>
        </w:tc>
      </w:tr>
      <w:tr w:rsidR="00265E1A" w:rsidRPr="00ED3B1C" w:rsidTr="00D34BE3">
        <w:trPr>
          <w:trHeight w:val="306"/>
          <w:jc w:val="center"/>
        </w:trPr>
        <w:tc>
          <w:tcPr>
            <w:tcW w:w="3979" w:type="dxa"/>
            <w:tcBorders>
              <w:top w:val="nil"/>
              <w:left w:val="nil"/>
              <w:bottom w:val="nil"/>
              <w:right w:val="nil"/>
            </w:tcBorders>
          </w:tcPr>
          <w:p w:rsidR="00265E1A" w:rsidRPr="00FB36FA" w:rsidRDefault="00265E1A" w:rsidP="00F53655">
            <w:pPr>
              <w:jc w:val="lowKashida"/>
              <w:rPr>
                <w:rFonts w:ascii="Arial" w:eastAsia="Arial Unicode MS" w:hAnsi="Arial" w:cs="Arial"/>
                <w:sz w:val="18"/>
                <w:szCs w:val="18"/>
                <w:rtl/>
              </w:rPr>
            </w:pPr>
            <w:r w:rsidRPr="00FB36FA">
              <w:rPr>
                <w:rFonts w:ascii="Arial" w:hAnsi="Arial" w:cs="Arial"/>
                <w:sz w:val="18"/>
                <w:szCs w:val="18"/>
                <w:rtl/>
              </w:rPr>
              <w:t>النقل والتخزين</w:t>
            </w:r>
            <w:r w:rsidR="00EC71FA" w:rsidRPr="00FB36FA">
              <w:rPr>
                <w:rFonts w:ascii="Arial" w:hAnsi="Arial" w:cs="Arial"/>
                <w:sz w:val="18"/>
                <w:szCs w:val="18"/>
                <w:rtl/>
              </w:rPr>
              <w:t xml:space="preserve"> </w:t>
            </w:r>
          </w:p>
        </w:tc>
        <w:tc>
          <w:tcPr>
            <w:tcW w:w="1239"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tl/>
              </w:rPr>
              <w:t>118.7</w:t>
            </w:r>
          </w:p>
        </w:tc>
        <w:tc>
          <w:tcPr>
            <w:tcW w:w="11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133.3</w:t>
            </w:r>
          </w:p>
        </w:tc>
        <w:tc>
          <w:tcPr>
            <w:tcW w:w="9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12.3</w:t>
            </w:r>
          </w:p>
        </w:tc>
        <w:tc>
          <w:tcPr>
            <w:tcW w:w="1047"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6.1</w:t>
            </w:r>
          </w:p>
        </w:tc>
        <w:tc>
          <w:tcPr>
            <w:tcW w:w="893"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57.3</w:t>
            </w:r>
          </w:p>
        </w:tc>
      </w:tr>
      <w:tr w:rsidR="005C51C8" w:rsidRPr="00ED3B1C" w:rsidTr="00D34BE3">
        <w:trPr>
          <w:trHeight w:val="306"/>
          <w:jc w:val="center"/>
        </w:trPr>
        <w:tc>
          <w:tcPr>
            <w:tcW w:w="3979" w:type="dxa"/>
            <w:tcBorders>
              <w:top w:val="nil"/>
              <w:left w:val="nil"/>
              <w:bottom w:val="nil"/>
              <w:right w:val="nil"/>
            </w:tcBorders>
          </w:tcPr>
          <w:p w:rsidR="005C51C8" w:rsidRPr="00FB36FA" w:rsidRDefault="00EC71FA" w:rsidP="00F53655">
            <w:pPr>
              <w:jc w:val="lowKashida"/>
              <w:rPr>
                <w:rFonts w:ascii="Arial" w:hAnsi="Arial" w:cs="Arial"/>
                <w:sz w:val="18"/>
                <w:szCs w:val="18"/>
                <w:rtl/>
              </w:rPr>
            </w:pPr>
            <w:r w:rsidRPr="00FB36FA">
              <w:rPr>
                <w:rFonts w:ascii="Arial" w:hAnsi="Arial" w:cs="Arial"/>
                <w:sz w:val="18"/>
                <w:szCs w:val="18"/>
                <w:rtl/>
              </w:rPr>
              <w:t>ا</w:t>
            </w:r>
            <w:r w:rsidR="00F53655" w:rsidRPr="00FB36FA">
              <w:rPr>
                <w:rFonts w:ascii="Arial" w:hAnsi="Arial" w:cs="Arial"/>
                <w:sz w:val="18"/>
                <w:szCs w:val="18"/>
                <w:rtl/>
              </w:rPr>
              <w:t>لانشطة</w:t>
            </w:r>
            <w:r w:rsidRPr="00FB36FA">
              <w:rPr>
                <w:rFonts w:ascii="Arial" w:hAnsi="Arial" w:cs="Arial"/>
                <w:sz w:val="18"/>
                <w:szCs w:val="18"/>
                <w:rtl/>
              </w:rPr>
              <w:t xml:space="preserve"> المالية</w:t>
            </w:r>
            <w:r w:rsidR="00F53655" w:rsidRPr="00FB36FA">
              <w:rPr>
                <w:rFonts w:ascii="Arial" w:hAnsi="Arial" w:cs="Arial"/>
                <w:sz w:val="18"/>
                <w:szCs w:val="18"/>
                <w:rtl/>
              </w:rPr>
              <w:t xml:space="preserve"> والتامين</w:t>
            </w:r>
          </w:p>
        </w:tc>
        <w:tc>
          <w:tcPr>
            <w:tcW w:w="1239" w:type="dxa"/>
            <w:tcBorders>
              <w:top w:val="nil"/>
              <w:left w:val="nil"/>
              <w:bottom w:val="nil"/>
              <w:right w:val="nil"/>
            </w:tcBorders>
            <w:vAlign w:val="center"/>
          </w:tcPr>
          <w:p w:rsidR="005C51C8" w:rsidRPr="00FB36FA" w:rsidRDefault="00323539">
            <w:pPr>
              <w:bidi w:val="0"/>
              <w:jc w:val="right"/>
              <w:rPr>
                <w:rFonts w:ascii="Arial" w:hAnsi="Arial" w:cs="Arial"/>
                <w:sz w:val="18"/>
                <w:szCs w:val="18"/>
                <w:rtl/>
              </w:rPr>
            </w:pPr>
            <w:r w:rsidRPr="00FB36FA">
              <w:rPr>
                <w:rFonts w:ascii="Arial" w:hAnsi="Arial" w:cs="Arial"/>
                <w:sz w:val="18"/>
                <w:szCs w:val="18"/>
                <w:rtl/>
              </w:rPr>
              <w:t>279.1</w:t>
            </w:r>
          </w:p>
        </w:tc>
        <w:tc>
          <w:tcPr>
            <w:tcW w:w="1146" w:type="dxa"/>
            <w:tcBorders>
              <w:top w:val="nil"/>
              <w:left w:val="nil"/>
              <w:bottom w:val="nil"/>
              <w:right w:val="nil"/>
            </w:tcBorders>
            <w:vAlign w:val="center"/>
          </w:tcPr>
          <w:p w:rsidR="005C51C8" w:rsidRPr="00FB36FA" w:rsidRDefault="00F53655">
            <w:pPr>
              <w:bidi w:val="0"/>
              <w:jc w:val="right"/>
              <w:rPr>
                <w:rFonts w:ascii="Arial" w:hAnsi="Arial" w:cs="Arial"/>
                <w:sz w:val="18"/>
                <w:szCs w:val="18"/>
              </w:rPr>
            </w:pPr>
            <w:r w:rsidRPr="00FB36FA">
              <w:rPr>
                <w:rFonts w:ascii="Arial" w:hAnsi="Arial" w:cs="Arial"/>
                <w:sz w:val="18"/>
                <w:szCs w:val="18"/>
              </w:rPr>
              <w:t>298.9</w:t>
            </w:r>
          </w:p>
        </w:tc>
        <w:tc>
          <w:tcPr>
            <w:tcW w:w="946" w:type="dxa"/>
            <w:tcBorders>
              <w:top w:val="nil"/>
              <w:left w:val="nil"/>
              <w:bottom w:val="nil"/>
              <w:right w:val="nil"/>
            </w:tcBorders>
            <w:vAlign w:val="center"/>
          </w:tcPr>
          <w:p w:rsidR="005C51C8" w:rsidRPr="00FB36FA" w:rsidRDefault="00F53655">
            <w:pPr>
              <w:bidi w:val="0"/>
              <w:jc w:val="right"/>
              <w:rPr>
                <w:rFonts w:ascii="Arial" w:hAnsi="Arial" w:cs="Arial"/>
                <w:sz w:val="18"/>
                <w:szCs w:val="18"/>
                <w:rtl/>
              </w:rPr>
            </w:pPr>
            <w:r w:rsidRPr="00FB36FA">
              <w:rPr>
                <w:rFonts w:ascii="Arial" w:hAnsi="Arial" w:cs="Arial"/>
                <w:sz w:val="18"/>
                <w:szCs w:val="18"/>
              </w:rPr>
              <w:t>7.1</w:t>
            </w:r>
          </w:p>
        </w:tc>
        <w:tc>
          <w:tcPr>
            <w:tcW w:w="1047" w:type="dxa"/>
            <w:tcBorders>
              <w:top w:val="nil"/>
              <w:left w:val="nil"/>
              <w:bottom w:val="nil"/>
              <w:right w:val="nil"/>
            </w:tcBorders>
            <w:vAlign w:val="center"/>
          </w:tcPr>
          <w:p w:rsidR="005C51C8" w:rsidRPr="00FB36FA" w:rsidRDefault="00F53655">
            <w:pPr>
              <w:bidi w:val="0"/>
              <w:jc w:val="right"/>
              <w:rPr>
                <w:rFonts w:ascii="Arial" w:hAnsi="Arial" w:cs="Arial"/>
                <w:sz w:val="18"/>
                <w:szCs w:val="18"/>
                <w:rtl/>
              </w:rPr>
            </w:pPr>
            <w:r w:rsidRPr="00FB36FA">
              <w:rPr>
                <w:rFonts w:ascii="Arial" w:hAnsi="Arial" w:cs="Arial"/>
                <w:sz w:val="18"/>
                <w:szCs w:val="18"/>
              </w:rPr>
              <w:t>7.3</w:t>
            </w:r>
          </w:p>
        </w:tc>
        <w:tc>
          <w:tcPr>
            <w:tcW w:w="893" w:type="dxa"/>
            <w:tcBorders>
              <w:top w:val="nil"/>
              <w:left w:val="nil"/>
              <w:bottom w:val="nil"/>
              <w:right w:val="nil"/>
            </w:tcBorders>
            <w:vAlign w:val="center"/>
          </w:tcPr>
          <w:p w:rsidR="005C51C8" w:rsidRPr="00FB36FA" w:rsidRDefault="00F53655">
            <w:pPr>
              <w:bidi w:val="0"/>
              <w:jc w:val="right"/>
              <w:rPr>
                <w:rFonts w:ascii="Arial" w:hAnsi="Arial" w:cs="Arial"/>
                <w:sz w:val="18"/>
                <w:szCs w:val="18"/>
                <w:rtl/>
              </w:rPr>
            </w:pPr>
            <w:r w:rsidRPr="00FB36FA">
              <w:rPr>
                <w:rFonts w:ascii="Arial" w:hAnsi="Arial" w:cs="Arial"/>
                <w:sz w:val="18"/>
                <w:szCs w:val="18"/>
              </w:rPr>
              <w:t>5.3</w:t>
            </w:r>
          </w:p>
        </w:tc>
      </w:tr>
      <w:tr w:rsidR="00F53655" w:rsidRPr="00ED3B1C" w:rsidTr="00D34BE3">
        <w:trPr>
          <w:trHeight w:val="306"/>
          <w:jc w:val="center"/>
        </w:trPr>
        <w:tc>
          <w:tcPr>
            <w:tcW w:w="3979" w:type="dxa"/>
            <w:tcBorders>
              <w:top w:val="nil"/>
              <w:left w:val="nil"/>
              <w:bottom w:val="nil"/>
              <w:right w:val="nil"/>
            </w:tcBorders>
          </w:tcPr>
          <w:p w:rsidR="00F53655" w:rsidRPr="00FB36FA" w:rsidRDefault="00F53655" w:rsidP="00F53655">
            <w:pPr>
              <w:jc w:val="lowKashida"/>
              <w:rPr>
                <w:rFonts w:ascii="Arial" w:hAnsi="Arial" w:cs="Arial"/>
                <w:sz w:val="18"/>
                <w:szCs w:val="18"/>
                <w:rtl/>
              </w:rPr>
            </w:pPr>
            <w:r w:rsidRPr="00FB36FA">
              <w:rPr>
                <w:rFonts w:ascii="Arial" w:hAnsi="Arial" w:cs="Arial"/>
                <w:sz w:val="18"/>
                <w:szCs w:val="18"/>
                <w:rtl/>
              </w:rPr>
              <w:t>المعلومات والاتصالات</w:t>
            </w:r>
          </w:p>
        </w:tc>
        <w:tc>
          <w:tcPr>
            <w:tcW w:w="1239" w:type="dxa"/>
            <w:tcBorders>
              <w:top w:val="nil"/>
              <w:left w:val="nil"/>
              <w:bottom w:val="nil"/>
              <w:right w:val="nil"/>
            </w:tcBorders>
            <w:vAlign w:val="center"/>
          </w:tcPr>
          <w:p w:rsidR="00F53655" w:rsidRPr="00FB36FA" w:rsidRDefault="00F53655">
            <w:pPr>
              <w:bidi w:val="0"/>
              <w:jc w:val="right"/>
              <w:rPr>
                <w:rFonts w:ascii="Arial" w:hAnsi="Arial" w:cs="Arial"/>
                <w:sz w:val="18"/>
                <w:szCs w:val="18"/>
                <w:rtl/>
              </w:rPr>
            </w:pPr>
            <w:r w:rsidRPr="00FB36FA">
              <w:rPr>
                <w:rFonts w:ascii="Arial" w:hAnsi="Arial" w:cs="Arial"/>
                <w:sz w:val="18"/>
                <w:szCs w:val="18"/>
              </w:rPr>
              <w:t>388.1</w:t>
            </w:r>
          </w:p>
        </w:tc>
        <w:tc>
          <w:tcPr>
            <w:tcW w:w="1146" w:type="dxa"/>
            <w:tcBorders>
              <w:top w:val="nil"/>
              <w:left w:val="nil"/>
              <w:bottom w:val="nil"/>
              <w:right w:val="nil"/>
            </w:tcBorders>
            <w:vAlign w:val="center"/>
          </w:tcPr>
          <w:p w:rsidR="00F53655" w:rsidRPr="00FB36FA" w:rsidRDefault="00F53655">
            <w:pPr>
              <w:bidi w:val="0"/>
              <w:jc w:val="right"/>
              <w:rPr>
                <w:rFonts w:ascii="Arial" w:hAnsi="Arial" w:cs="Arial"/>
                <w:sz w:val="18"/>
                <w:szCs w:val="18"/>
              </w:rPr>
            </w:pPr>
            <w:r w:rsidRPr="00FB36FA">
              <w:rPr>
                <w:rFonts w:ascii="Arial" w:hAnsi="Arial" w:cs="Arial"/>
                <w:sz w:val="18"/>
                <w:szCs w:val="18"/>
              </w:rPr>
              <w:t>404.8</w:t>
            </w:r>
          </w:p>
        </w:tc>
        <w:tc>
          <w:tcPr>
            <w:tcW w:w="946" w:type="dxa"/>
            <w:tcBorders>
              <w:top w:val="nil"/>
              <w:left w:val="nil"/>
              <w:bottom w:val="nil"/>
              <w:right w:val="nil"/>
            </w:tcBorders>
            <w:vAlign w:val="center"/>
          </w:tcPr>
          <w:p w:rsidR="00F53655" w:rsidRPr="00FB36FA" w:rsidRDefault="00F53655">
            <w:pPr>
              <w:bidi w:val="0"/>
              <w:jc w:val="right"/>
              <w:rPr>
                <w:rFonts w:ascii="Arial" w:hAnsi="Arial" w:cs="Arial"/>
                <w:sz w:val="18"/>
                <w:szCs w:val="18"/>
              </w:rPr>
            </w:pPr>
            <w:r w:rsidRPr="00FB36FA">
              <w:rPr>
                <w:rFonts w:ascii="Arial" w:hAnsi="Arial" w:cs="Arial"/>
                <w:sz w:val="18"/>
                <w:szCs w:val="18"/>
              </w:rPr>
              <w:t>4.3</w:t>
            </w:r>
          </w:p>
        </w:tc>
        <w:tc>
          <w:tcPr>
            <w:tcW w:w="1047" w:type="dxa"/>
            <w:tcBorders>
              <w:top w:val="nil"/>
              <w:left w:val="nil"/>
              <w:bottom w:val="nil"/>
              <w:right w:val="nil"/>
            </w:tcBorders>
            <w:vAlign w:val="center"/>
          </w:tcPr>
          <w:p w:rsidR="00F53655" w:rsidRPr="00FB36FA" w:rsidRDefault="00F53655">
            <w:pPr>
              <w:bidi w:val="0"/>
              <w:jc w:val="right"/>
              <w:rPr>
                <w:rFonts w:ascii="Arial" w:hAnsi="Arial" w:cs="Arial"/>
                <w:sz w:val="18"/>
                <w:szCs w:val="18"/>
              </w:rPr>
            </w:pPr>
            <w:r w:rsidRPr="00FB36FA">
              <w:rPr>
                <w:rFonts w:ascii="Arial" w:hAnsi="Arial" w:cs="Arial"/>
                <w:sz w:val="18"/>
                <w:szCs w:val="18"/>
              </w:rPr>
              <w:t>4.3</w:t>
            </w:r>
          </w:p>
        </w:tc>
        <w:tc>
          <w:tcPr>
            <w:tcW w:w="893" w:type="dxa"/>
            <w:tcBorders>
              <w:top w:val="nil"/>
              <w:left w:val="nil"/>
              <w:bottom w:val="nil"/>
              <w:right w:val="nil"/>
            </w:tcBorders>
            <w:vAlign w:val="center"/>
          </w:tcPr>
          <w:p w:rsidR="00F53655" w:rsidRPr="00FB36FA" w:rsidRDefault="00F53655">
            <w:pPr>
              <w:bidi w:val="0"/>
              <w:jc w:val="right"/>
              <w:rPr>
                <w:rFonts w:ascii="Arial" w:hAnsi="Arial" w:cs="Arial"/>
                <w:sz w:val="18"/>
                <w:szCs w:val="18"/>
              </w:rPr>
            </w:pPr>
            <w:r w:rsidRPr="00FB36FA">
              <w:rPr>
                <w:rFonts w:ascii="Arial" w:hAnsi="Arial" w:cs="Arial"/>
                <w:sz w:val="18"/>
                <w:szCs w:val="18"/>
              </w:rPr>
              <w:t>4.3</w:t>
            </w:r>
          </w:p>
        </w:tc>
      </w:tr>
      <w:tr w:rsidR="00265E1A" w:rsidRPr="00ED3B1C" w:rsidTr="00D34BE3">
        <w:trPr>
          <w:trHeight w:val="306"/>
          <w:jc w:val="center"/>
        </w:trPr>
        <w:tc>
          <w:tcPr>
            <w:tcW w:w="3979" w:type="dxa"/>
            <w:tcBorders>
              <w:top w:val="nil"/>
              <w:left w:val="nil"/>
              <w:bottom w:val="nil"/>
              <w:right w:val="nil"/>
            </w:tcBorders>
          </w:tcPr>
          <w:p w:rsidR="00265E1A" w:rsidRPr="00FB36FA" w:rsidRDefault="00265E1A">
            <w:pPr>
              <w:jc w:val="lowKashida"/>
              <w:rPr>
                <w:rFonts w:ascii="Arial" w:eastAsia="Arial Unicode MS" w:hAnsi="Arial" w:cs="Arial"/>
                <w:sz w:val="18"/>
                <w:szCs w:val="18"/>
              </w:rPr>
            </w:pPr>
            <w:r w:rsidRPr="00FB36FA">
              <w:rPr>
                <w:rFonts w:ascii="Arial" w:hAnsi="Arial" w:cs="Arial"/>
                <w:sz w:val="18"/>
                <w:szCs w:val="18"/>
                <w:rtl/>
              </w:rPr>
              <w:t>الخدمات</w:t>
            </w:r>
          </w:p>
        </w:tc>
        <w:tc>
          <w:tcPr>
            <w:tcW w:w="1239" w:type="dxa"/>
            <w:tcBorders>
              <w:top w:val="nil"/>
              <w:left w:val="nil"/>
              <w:bottom w:val="nil"/>
              <w:right w:val="nil"/>
            </w:tcBorders>
            <w:vAlign w:val="center"/>
          </w:tcPr>
          <w:p w:rsidR="00265E1A" w:rsidRPr="00FB36FA" w:rsidRDefault="00265E1A" w:rsidP="00C3610E">
            <w:pPr>
              <w:bidi w:val="0"/>
              <w:jc w:val="right"/>
              <w:rPr>
                <w:rFonts w:ascii="Arial" w:hAnsi="Arial" w:cs="Arial"/>
                <w:sz w:val="18"/>
                <w:szCs w:val="18"/>
              </w:rPr>
            </w:pPr>
            <w:r w:rsidRPr="00FB36FA">
              <w:rPr>
                <w:rFonts w:ascii="Arial" w:hAnsi="Arial" w:cs="Arial"/>
                <w:sz w:val="18"/>
                <w:szCs w:val="18"/>
                <w:rtl/>
              </w:rPr>
              <w:t>1,</w:t>
            </w:r>
            <w:r w:rsidR="00323539" w:rsidRPr="00FB36FA">
              <w:rPr>
                <w:rFonts w:ascii="Arial" w:hAnsi="Arial" w:cs="Arial"/>
                <w:sz w:val="18"/>
                <w:szCs w:val="18"/>
                <w:rtl/>
              </w:rPr>
              <w:t>27</w:t>
            </w:r>
            <w:r w:rsidR="00C3610E" w:rsidRPr="00FB36FA">
              <w:rPr>
                <w:rFonts w:ascii="Arial" w:hAnsi="Arial" w:cs="Arial"/>
                <w:sz w:val="18"/>
                <w:szCs w:val="18"/>
                <w:rtl/>
              </w:rPr>
              <w:t>2</w:t>
            </w:r>
            <w:r w:rsidR="00323539" w:rsidRPr="00FB36FA">
              <w:rPr>
                <w:rFonts w:ascii="Arial" w:hAnsi="Arial" w:cs="Arial"/>
                <w:sz w:val="18"/>
                <w:szCs w:val="18"/>
                <w:rtl/>
              </w:rPr>
              <w:t>.</w:t>
            </w:r>
            <w:r w:rsidR="00C3610E" w:rsidRPr="00FB36FA">
              <w:rPr>
                <w:rFonts w:ascii="Arial" w:hAnsi="Arial" w:cs="Arial"/>
                <w:sz w:val="18"/>
                <w:szCs w:val="18"/>
                <w:rtl/>
              </w:rPr>
              <w:t>7</w:t>
            </w:r>
          </w:p>
        </w:tc>
        <w:tc>
          <w:tcPr>
            <w:tcW w:w="1146" w:type="dxa"/>
            <w:tcBorders>
              <w:top w:val="nil"/>
              <w:left w:val="nil"/>
              <w:bottom w:val="nil"/>
              <w:right w:val="nil"/>
            </w:tcBorders>
            <w:vAlign w:val="center"/>
          </w:tcPr>
          <w:p w:rsidR="00265E1A" w:rsidRPr="00FB36FA" w:rsidRDefault="00EC71FA" w:rsidP="00F53655">
            <w:pPr>
              <w:bidi w:val="0"/>
              <w:jc w:val="right"/>
              <w:rPr>
                <w:rFonts w:ascii="Arial" w:hAnsi="Arial" w:cs="Arial"/>
                <w:sz w:val="18"/>
                <w:szCs w:val="18"/>
              </w:rPr>
            </w:pPr>
            <w:r w:rsidRPr="00FB36FA">
              <w:rPr>
                <w:rFonts w:ascii="Arial" w:hAnsi="Arial" w:cs="Arial"/>
                <w:sz w:val="18"/>
                <w:szCs w:val="18"/>
                <w:rtl/>
              </w:rPr>
              <w:t>1,</w:t>
            </w:r>
            <w:r w:rsidRPr="00FB36FA">
              <w:rPr>
                <w:rFonts w:ascii="Arial" w:hAnsi="Arial" w:cs="Arial"/>
                <w:sz w:val="18"/>
                <w:szCs w:val="18"/>
              </w:rPr>
              <w:t>3</w:t>
            </w:r>
            <w:r w:rsidR="00F53655" w:rsidRPr="00FB36FA">
              <w:rPr>
                <w:rFonts w:ascii="Arial" w:hAnsi="Arial" w:cs="Arial"/>
                <w:sz w:val="18"/>
                <w:szCs w:val="18"/>
              </w:rPr>
              <w:t>82</w:t>
            </w:r>
            <w:r w:rsidRPr="00FB36FA">
              <w:rPr>
                <w:rFonts w:ascii="Arial" w:hAnsi="Arial" w:cs="Arial"/>
                <w:sz w:val="18"/>
                <w:szCs w:val="18"/>
              </w:rPr>
              <w:t>.</w:t>
            </w:r>
            <w:r w:rsidR="00F53655" w:rsidRPr="00FB36FA">
              <w:rPr>
                <w:rFonts w:ascii="Arial" w:hAnsi="Arial" w:cs="Arial"/>
                <w:sz w:val="18"/>
                <w:szCs w:val="18"/>
              </w:rPr>
              <w:t>0</w:t>
            </w:r>
          </w:p>
        </w:tc>
        <w:tc>
          <w:tcPr>
            <w:tcW w:w="946"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8.6</w:t>
            </w:r>
          </w:p>
        </w:tc>
        <w:tc>
          <w:tcPr>
            <w:tcW w:w="1047"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4.1</w:t>
            </w:r>
          </w:p>
        </w:tc>
        <w:tc>
          <w:tcPr>
            <w:tcW w:w="893" w:type="dxa"/>
            <w:tcBorders>
              <w:top w:val="nil"/>
              <w:left w:val="nil"/>
              <w:bottom w:val="nil"/>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15.5</w:t>
            </w:r>
          </w:p>
        </w:tc>
      </w:tr>
      <w:tr w:rsidR="00265E1A" w:rsidRPr="00ED3B1C" w:rsidTr="00D34BE3">
        <w:trPr>
          <w:trHeight w:val="290"/>
          <w:jc w:val="center"/>
        </w:trPr>
        <w:tc>
          <w:tcPr>
            <w:tcW w:w="3979" w:type="dxa"/>
            <w:tcBorders>
              <w:top w:val="nil"/>
              <w:left w:val="nil"/>
              <w:bottom w:val="single" w:sz="12" w:space="0" w:color="auto"/>
              <w:right w:val="nil"/>
            </w:tcBorders>
          </w:tcPr>
          <w:p w:rsidR="00265E1A" w:rsidRPr="00FB36FA" w:rsidRDefault="00265E1A">
            <w:pPr>
              <w:rPr>
                <w:rFonts w:ascii="Arial" w:hAnsi="Arial" w:cs="Arial"/>
                <w:sz w:val="18"/>
                <w:szCs w:val="18"/>
              </w:rPr>
            </w:pPr>
            <w:r w:rsidRPr="00FB36FA">
              <w:rPr>
                <w:rFonts w:ascii="Arial" w:hAnsi="Arial" w:cs="Arial"/>
                <w:sz w:val="18"/>
                <w:szCs w:val="18"/>
                <w:rtl/>
              </w:rPr>
              <w:t>الإدارة العامة والدفاع</w:t>
            </w:r>
          </w:p>
        </w:tc>
        <w:tc>
          <w:tcPr>
            <w:tcW w:w="1239" w:type="dxa"/>
            <w:tcBorders>
              <w:top w:val="nil"/>
              <w:left w:val="nil"/>
              <w:bottom w:val="single" w:sz="12" w:space="0" w:color="auto"/>
              <w:right w:val="nil"/>
            </w:tcBorders>
            <w:vAlign w:val="center"/>
          </w:tcPr>
          <w:p w:rsidR="00265E1A" w:rsidRPr="00FB36FA" w:rsidRDefault="00323539" w:rsidP="005C51C8">
            <w:pPr>
              <w:bidi w:val="0"/>
              <w:jc w:val="right"/>
              <w:rPr>
                <w:rFonts w:ascii="Arial" w:hAnsi="Arial" w:cs="Arial"/>
                <w:sz w:val="18"/>
                <w:szCs w:val="18"/>
              </w:rPr>
            </w:pPr>
            <w:r w:rsidRPr="00FB36FA">
              <w:rPr>
                <w:rFonts w:ascii="Arial" w:hAnsi="Arial" w:cs="Arial"/>
                <w:sz w:val="18"/>
                <w:szCs w:val="18"/>
                <w:rtl/>
              </w:rPr>
              <w:t>782.1</w:t>
            </w:r>
          </w:p>
        </w:tc>
        <w:tc>
          <w:tcPr>
            <w:tcW w:w="1146" w:type="dxa"/>
            <w:tcBorders>
              <w:top w:val="nil"/>
              <w:left w:val="nil"/>
              <w:bottom w:val="single" w:sz="12" w:space="0" w:color="auto"/>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884.0</w:t>
            </w:r>
          </w:p>
        </w:tc>
        <w:tc>
          <w:tcPr>
            <w:tcW w:w="946" w:type="dxa"/>
            <w:tcBorders>
              <w:top w:val="nil"/>
              <w:left w:val="nil"/>
              <w:bottom w:val="single" w:sz="12" w:space="0" w:color="auto"/>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13.0</w:t>
            </w:r>
          </w:p>
        </w:tc>
        <w:tc>
          <w:tcPr>
            <w:tcW w:w="1047" w:type="dxa"/>
            <w:tcBorders>
              <w:top w:val="nil"/>
              <w:left w:val="nil"/>
              <w:bottom w:val="single" w:sz="12" w:space="0" w:color="auto"/>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14.2</w:t>
            </w:r>
          </w:p>
        </w:tc>
        <w:tc>
          <w:tcPr>
            <w:tcW w:w="893" w:type="dxa"/>
            <w:tcBorders>
              <w:top w:val="nil"/>
              <w:left w:val="nil"/>
              <w:bottom w:val="single" w:sz="12" w:space="0" w:color="auto"/>
              <w:right w:val="nil"/>
            </w:tcBorders>
            <w:vAlign w:val="center"/>
          </w:tcPr>
          <w:p w:rsidR="00265E1A" w:rsidRPr="00FB36FA" w:rsidRDefault="00F53655">
            <w:pPr>
              <w:bidi w:val="0"/>
              <w:jc w:val="right"/>
              <w:rPr>
                <w:rFonts w:ascii="Arial" w:hAnsi="Arial" w:cs="Arial"/>
                <w:sz w:val="18"/>
                <w:szCs w:val="18"/>
              </w:rPr>
            </w:pPr>
            <w:r w:rsidRPr="00FB36FA">
              <w:rPr>
                <w:rFonts w:ascii="Arial" w:hAnsi="Arial" w:cs="Arial"/>
                <w:sz w:val="18"/>
                <w:szCs w:val="18"/>
              </w:rPr>
              <w:t>11.8</w:t>
            </w:r>
          </w:p>
        </w:tc>
      </w:tr>
    </w:tbl>
    <w:bookmarkEnd w:id="2"/>
    <w:p w:rsidR="00C10D0D" w:rsidRDefault="00B45AC2" w:rsidP="00C10D0D">
      <w:pPr>
        <w:jc w:val="lowKashida"/>
        <w:rPr>
          <w:rFonts w:cs="Simplified Arabic"/>
          <w:sz w:val="20"/>
          <w:szCs w:val="20"/>
          <w:rtl/>
        </w:rPr>
      </w:pPr>
      <w:r w:rsidRPr="00ED3B1C">
        <w:rPr>
          <w:rFonts w:cs="Simplified Arabic" w:hint="cs"/>
          <w:sz w:val="20"/>
          <w:szCs w:val="20"/>
          <w:rtl/>
        </w:rPr>
        <w:t xml:space="preserve"> </w:t>
      </w:r>
    </w:p>
    <w:p w:rsidR="00F63205" w:rsidRPr="00ED2C33" w:rsidRDefault="00C10D0D" w:rsidP="00B63985">
      <w:pPr>
        <w:spacing w:before="240" w:after="200"/>
        <w:jc w:val="lowKashida"/>
        <w:rPr>
          <w:rFonts w:cs="Simplified Arabic"/>
          <w:b/>
          <w:bCs/>
          <w:rtl/>
        </w:rPr>
      </w:pPr>
      <w:r w:rsidRPr="00C10D0D">
        <w:rPr>
          <w:rFonts w:ascii="Simplified Arabic" w:hAnsi="Simplified Arabic" w:cs="Simplified Arabic"/>
          <w:b/>
          <w:bCs/>
          <w:rtl/>
        </w:rPr>
        <w:t xml:space="preserve">بالرغم من الارتفاع في جميع الأنشطة الاقتصادية </w:t>
      </w:r>
      <w:r w:rsidR="005069DB">
        <w:rPr>
          <w:rFonts w:ascii="Simplified Arabic" w:hAnsi="Simplified Arabic" w:cs="Simplified Arabic" w:hint="cs"/>
          <w:b/>
          <w:bCs/>
          <w:rtl/>
        </w:rPr>
        <w:t>ل</w:t>
      </w:r>
      <w:r w:rsidRPr="00C10D0D">
        <w:rPr>
          <w:rFonts w:ascii="Simplified Arabic" w:hAnsi="Simplified Arabic" w:cs="Simplified Arabic"/>
          <w:b/>
          <w:bCs/>
          <w:rtl/>
        </w:rPr>
        <w:t xml:space="preserve">لأراضي </w:t>
      </w:r>
      <w:r w:rsidRPr="00C10D0D">
        <w:rPr>
          <w:rFonts w:ascii="Simplified Arabic" w:hAnsi="Simplified Arabic" w:cs="Simplified Arabic" w:hint="cs"/>
          <w:b/>
          <w:bCs/>
          <w:rtl/>
        </w:rPr>
        <w:t>الفلسطيني</w:t>
      </w:r>
      <w:r w:rsidRPr="00C10D0D">
        <w:rPr>
          <w:rFonts w:ascii="Simplified Arabic" w:hAnsi="Simplified Arabic" w:cs="Simplified Arabic" w:hint="eastAsia"/>
          <w:b/>
          <w:bCs/>
          <w:rtl/>
        </w:rPr>
        <w:t>ة</w:t>
      </w:r>
      <w:r w:rsidRPr="00C10D0D">
        <w:rPr>
          <w:rFonts w:ascii="Simplified Arabic" w:hAnsi="Simplified Arabic" w:cs="Simplified Arabic"/>
          <w:b/>
          <w:bCs/>
          <w:rtl/>
        </w:rPr>
        <w:t xml:space="preserve"> خلال العام 2011، إلا أن نسبة النمو في هذه الأنشطة تفاوتت بين الضفة الغربية وقطاع غزة</w:t>
      </w:r>
      <w:r>
        <w:rPr>
          <w:rFonts w:ascii="Simplified Arabic" w:hAnsi="Simplified Arabic" w:cs="Simplified Arabic" w:hint="cs"/>
          <w:rtl/>
        </w:rPr>
        <w:t xml:space="preserve">. </w:t>
      </w:r>
      <w:r w:rsidRPr="00C10D0D">
        <w:rPr>
          <w:rFonts w:ascii="Simplified Arabic" w:hAnsi="Simplified Arabic" w:cs="Simplified Arabic"/>
          <w:rtl/>
        </w:rPr>
        <w:t xml:space="preserve"> </w:t>
      </w:r>
      <w:r>
        <w:rPr>
          <w:rFonts w:ascii="Simplified Arabic" w:hAnsi="Simplified Arabic" w:cs="Simplified Arabic" w:hint="cs"/>
          <w:rtl/>
        </w:rPr>
        <w:t xml:space="preserve">فقد </w:t>
      </w:r>
      <w:r w:rsidR="005069DB">
        <w:rPr>
          <w:rFonts w:ascii="Simplified Arabic" w:hAnsi="Simplified Arabic" w:cs="Simplified Arabic" w:hint="cs"/>
          <w:rtl/>
        </w:rPr>
        <w:t>نما</w:t>
      </w:r>
      <w:r w:rsidR="00B45AC2" w:rsidRPr="00C10D0D">
        <w:rPr>
          <w:rFonts w:ascii="Simplified Arabic" w:hAnsi="Simplified Arabic" w:cs="Simplified Arabic"/>
          <w:rtl/>
        </w:rPr>
        <w:t xml:space="preserve"> </w:t>
      </w:r>
      <w:bookmarkStart w:id="3" w:name="OLE_LINK3"/>
      <w:r w:rsidR="00B45AC2" w:rsidRPr="00C10D0D">
        <w:rPr>
          <w:rFonts w:ascii="Simplified Arabic" w:hAnsi="Simplified Arabic" w:cs="Simplified Arabic"/>
          <w:rtl/>
        </w:rPr>
        <w:t xml:space="preserve">نشاط </w:t>
      </w:r>
      <w:r w:rsidR="00D20D48" w:rsidRPr="00C10D0D">
        <w:rPr>
          <w:rFonts w:ascii="Simplified Arabic" w:hAnsi="Simplified Arabic" w:cs="Simplified Arabic"/>
          <w:rtl/>
        </w:rPr>
        <w:t>الادارة العامة والدفاع</w:t>
      </w:r>
      <w:r w:rsidR="00B45AC2" w:rsidRPr="00C10D0D">
        <w:rPr>
          <w:rFonts w:ascii="Simplified Arabic" w:hAnsi="Simplified Arabic" w:cs="Simplified Arabic"/>
          <w:rtl/>
        </w:rPr>
        <w:t xml:space="preserve"> بنسبة </w:t>
      </w:r>
      <w:r w:rsidR="005069DB">
        <w:rPr>
          <w:rFonts w:ascii="Simplified Arabic" w:hAnsi="Simplified Arabic" w:cs="Simplified Arabic" w:hint="cs"/>
          <w:rtl/>
        </w:rPr>
        <w:t>14.2</w:t>
      </w:r>
      <w:r w:rsidR="00B45AC2" w:rsidRPr="00C10D0D">
        <w:rPr>
          <w:rFonts w:ascii="Simplified Arabic" w:hAnsi="Simplified Arabic" w:cs="Simplified Arabic"/>
          <w:rtl/>
        </w:rPr>
        <w:t xml:space="preserve">% </w:t>
      </w:r>
      <w:bookmarkEnd w:id="3"/>
      <w:r>
        <w:rPr>
          <w:rFonts w:ascii="Simplified Arabic" w:hAnsi="Simplified Arabic" w:cs="Simplified Arabic" w:hint="cs"/>
          <w:rtl/>
        </w:rPr>
        <w:t>في الضفة الغربية</w:t>
      </w:r>
      <w:r w:rsidR="00ED2C33">
        <w:rPr>
          <w:rFonts w:ascii="Simplified Arabic" w:hAnsi="Simplified Arabic" w:cs="Simplified Arabic" w:hint="cs"/>
          <w:rtl/>
        </w:rPr>
        <w:t>، تلاه</w:t>
      </w:r>
      <w:r w:rsidR="00B63985" w:rsidRPr="00B63985">
        <w:rPr>
          <w:rFonts w:cs="Simplified Arabic" w:hint="cs"/>
          <w:rtl/>
        </w:rPr>
        <w:t xml:space="preserve"> </w:t>
      </w:r>
      <w:r w:rsidR="00B63985" w:rsidRPr="00ED3B1C">
        <w:rPr>
          <w:rFonts w:cs="Simplified Arabic" w:hint="cs"/>
          <w:rtl/>
        </w:rPr>
        <w:t>نشاط المالية والت</w:t>
      </w:r>
      <w:r w:rsidR="00B63985">
        <w:rPr>
          <w:rFonts w:cs="Simplified Arabic" w:hint="cs"/>
          <w:rtl/>
        </w:rPr>
        <w:t>أ</w:t>
      </w:r>
      <w:r w:rsidR="00B63985" w:rsidRPr="00ED3B1C">
        <w:rPr>
          <w:rFonts w:cs="Simplified Arabic" w:hint="cs"/>
          <w:rtl/>
        </w:rPr>
        <w:t>مين</w:t>
      </w:r>
      <w:r w:rsidR="00B63985">
        <w:rPr>
          <w:rFonts w:ascii="Simplified Arabic" w:hAnsi="Simplified Arabic" w:cs="Simplified Arabic" w:hint="cs"/>
          <w:rtl/>
        </w:rPr>
        <w:t xml:space="preserve"> ونشاط</w:t>
      </w:r>
      <w:r w:rsidR="001F5B5D" w:rsidRPr="00ED3B1C">
        <w:rPr>
          <w:rFonts w:cs="Simplified Arabic" w:hint="cs"/>
          <w:rtl/>
        </w:rPr>
        <w:t xml:space="preserve"> التعدين والصناعة التحويلية </w:t>
      </w:r>
      <w:r w:rsidR="00B63985" w:rsidRPr="00ED3B1C">
        <w:rPr>
          <w:rFonts w:cs="Simplified Arabic" w:hint="cs"/>
          <w:rtl/>
        </w:rPr>
        <w:t xml:space="preserve">والنقل والتخزين </w:t>
      </w:r>
      <w:r w:rsidR="00B63985">
        <w:rPr>
          <w:rFonts w:cs="Simplified Arabic" w:hint="cs"/>
          <w:rtl/>
        </w:rPr>
        <w:t>و</w:t>
      </w:r>
      <w:r w:rsidR="001F5B5D" w:rsidRPr="00ED3B1C">
        <w:rPr>
          <w:rFonts w:cs="Simplified Arabic" w:hint="cs"/>
          <w:rtl/>
        </w:rPr>
        <w:t>نشاط</w:t>
      </w:r>
      <w:r w:rsidR="00B45AC2" w:rsidRPr="00ED3B1C">
        <w:rPr>
          <w:rFonts w:cs="Simplified Arabic" w:hint="cs"/>
          <w:rtl/>
        </w:rPr>
        <w:t xml:space="preserve"> تجارة الجملة والتجزئة</w:t>
      </w:r>
      <w:r w:rsidR="001F5B5D" w:rsidRPr="00ED3B1C">
        <w:rPr>
          <w:rFonts w:cs="Simplified Arabic" w:hint="cs"/>
          <w:b/>
          <w:bCs/>
          <w:rtl/>
        </w:rPr>
        <w:t>.</w:t>
      </w:r>
      <w:r w:rsidR="00ED2C33">
        <w:rPr>
          <w:rFonts w:cs="Simplified Arabic" w:hint="cs"/>
          <w:b/>
          <w:bCs/>
          <w:rtl/>
        </w:rPr>
        <w:t xml:space="preserve"> </w:t>
      </w:r>
      <w:r w:rsidR="00ED2C33" w:rsidRPr="00ED2C33">
        <w:rPr>
          <w:rFonts w:cs="Simplified Arabic" w:hint="cs"/>
          <w:rtl/>
        </w:rPr>
        <w:t xml:space="preserve">أما في </w:t>
      </w:r>
      <w:r w:rsidR="00ED2C33" w:rsidRPr="00ED2C33">
        <w:rPr>
          <w:rFonts w:cs="Simplified Arabic" w:hint="cs"/>
          <w:rtl/>
        </w:rPr>
        <w:lastRenderedPageBreak/>
        <w:t xml:space="preserve">قطاع غزة، فقد </w:t>
      </w:r>
      <w:r w:rsidR="005069DB">
        <w:rPr>
          <w:rFonts w:cs="Simplified Arabic" w:hint="cs"/>
          <w:rtl/>
        </w:rPr>
        <w:t>نما</w:t>
      </w:r>
      <w:r w:rsidR="00ED2C33" w:rsidRPr="00ED2C33">
        <w:rPr>
          <w:rFonts w:cs="Simplified Arabic" w:hint="cs"/>
          <w:rtl/>
        </w:rPr>
        <w:t xml:space="preserve"> نشاط الإنشاءات بنسبة </w:t>
      </w:r>
      <w:r w:rsidR="005069DB">
        <w:rPr>
          <w:rFonts w:cs="Simplified Arabic" w:hint="cs"/>
          <w:rtl/>
        </w:rPr>
        <w:t>119.0</w:t>
      </w:r>
      <w:r w:rsidR="00B45AC2" w:rsidRPr="00ED2C33">
        <w:rPr>
          <w:rFonts w:cs="Simplified Arabic" w:hint="cs"/>
          <w:rtl/>
        </w:rPr>
        <w:t xml:space="preserve">% من </w:t>
      </w:r>
      <w:r w:rsidR="00ED2C33">
        <w:rPr>
          <w:rFonts w:cs="Simplified Arabic" w:hint="cs"/>
          <w:rtl/>
        </w:rPr>
        <w:t xml:space="preserve">إجمالي </w:t>
      </w:r>
      <w:r w:rsidR="00ED2C33" w:rsidRPr="00ED2C33">
        <w:rPr>
          <w:rFonts w:cs="Simplified Arabic" w:hint="cs"/>
          <w:rtl/>
        </w:rPr>
        <w:t xml:space="preserve">النمو الذي شهده الناتج المحلي الإجمالي في </w:t>
      </w:r>
      <w:r w:rsidR="005069DB">
        <w:rPr>
          <w:rFonts w:cs="Simplified Arabic" w:hint="cs"/>
          <w:rtl/>
        </w:rPr>
        <w:t>قطاع غزة</w:t>
      </w:r>
      <w:r w:rsidR="00ED2C33" w:rsidRPr="00ED2C33">
        <w:rPr>
          <w:rFonts w:cs="Simplified Arabic" w:hint="cs"/>
          <w:rtl/>
        </w:rPr>
        <w:t>، تلا ذلك</w:t>
      </w:r>
      <w:r w:rsidR="00ED2C33">
        <w:rPr>
          <w:rFonts w:cs="Simplified Arabic" w:hint="cs"/>
          <w:b/>
          <w:bCs/>
          <w:rtl/>
        </w:rPr>
        <w:t xml:space="preserve"> </w:t>
      </w:r>
      <w:r w:rsidR="00B45AC2" w:rsidRPr="00ED3B1C">
        <w:rPr>
          <w:rFonts w:cs="Simplified Arabic" w:hint="cs"/>
          <w:rtl/>
        </w:rPr>
        <w:t xml:space="preserve">نشاط النقل والتخزين </w:t>
      </w:r>
      <w:r w:rsidR="00ED2C33">
        <w:rPr>
          <w:rFonts w:cs="Simplified Arabic" w:hint="cs"/>
          <w:rtl/>
        </w:rPr>
        <w:t>ثم</w:t>
      </w:r>
      <w:r w:rsidR="00B45AC2" w:rsidRPr="00ED3B1C">
        <w:rPr>
          <w:rFonts w:cs="Simplified Arabic" w:hint="cs"/>
          <w:rtl/>
        </w:rPr>
        <w:t xml:space="preserve"> نشاط الزراعة</w:t>
      </w:r>
      <w:r w:rsidR="00F21CA6" w:rsidRPr="00ED3B1C">
        <w:rPr>
          <w:rFonts w:cs="Simplified Arabic" w:hint="cs"/>
          <w:rtl/>
        </w:rPr>
        <w:t>.</w:t>
      </w:r>
      <w:r w:rsidR="00B45AC2" w:rsidRPr="00ED3B1C">
        <w:rPr>
          <w:rFonts w:cs="Simplified Arabic" w:hint="cs"/>
          <w:rtl/>
        </w:rPr>
        <w:t xml:space="preserve"> </w:t>
      </w:r>
    </w:p>
    <w:p w:rsidR="00F63205" w:rsidRPr="00ED3B1C" w:rsidRDefault="00ED2C33" w:rsidP="008117BF">
      <w:pPr>
        <w:spacing w:before="240" w:after="200"/>
        <w:jc w:val="lowKashida"/>
        <w:rPr>
          <w:rFonts w:cs="Simplified Arabic"/>
          <w:rtl/>
        </w:rPr>
      </w:pPr>
      <w:r w:rsidRPr="00FD3AB5">
        <w:rPr>
          <w:rFonts w:hint="cs"/>
          <w:b/>
          <w:bCs/>
          <w:rtl/>
        </w:rPr>
        <w:t xml:space="preserve">أما بالنسبة </w:t>
      </w:r>
      <w:r w:rsidRPr="00FD3AB5">
        <w:rPr>
          <w:rFonts w:cs="Simplified Arabic" w:hint="cs"/>
          <w:b/>
          <w:bCs/>
          <w:rtl/>
        </w:rPr>
        <w:t>ل</w:t>
      </w:r>
      <w:r w:rsidR="00B45AC2" w:rsidRPr="00FD3AB5">
        <w:rPr>
          <w:rFonts w:cs="Simplified Arabic" w:hint="cs"/>
          <w:b/>
          <w:bCs/>
          <w:rtl/>
        </w:rPr>
        <w:t>مساهمة</w:t>
      </w:r>
      <w:r w:rsidR="00B45AC2" w:rsidRPr="00FD3AB5">
        <w:rPr>
          <w:rFonts w:hint="cs"/>
          <w:b/>
          <w:bCs/>
          <w:rtl/>
        </w:rPr>
        <w:t xml:space="preserve"> الأنشطة الاقتصادية</w:t>
      </w:r>
      <w:r w:rsidRPr="00FD3AB5">
        <w:rPr>
          <w:rFonts w:hint="cs"/>
          <w:b/>
          <w:bCs/>
          <w:rtl/>
        </w:rPr>
        <w:t xml:space="preserve">، فقد </w:t>
      </w:r>
      <w:r w:rsidR="00B45AC2" w:rsidRPr="00FD3AB5">
        <w:rPr>
          <w:rFonts w:cs="Simplified Arabic" w:hint="cs"/>
          <w:b/>
          <w:bCs/>
          <w:rtl/>
        </w:rPr>
        <w:t xml:space="preserve">شكل نشاط الخدمات في الأراضي الفلسطينية أعلى نسبة مساهمة في الناتج المحلي الإجمالي بواقع </w:t>
      </w:r>
      <w:r w:rsidR="00ED3B1C" w:rsidRPr="00FD3AB5">
        <w:rPr>
          <w:rFonts w:cs="Simplified Arabic" w:hint="cs"/>
          <w:b/>
          <w:bCs/>
          <w:rtl/>
        </w:rPr>
        <w:t>21.9</w:t>
      </w:r>
      <w:r w:rsidRPr="00FD3AB5">
        <w:rPr>
          <w:rFonts w:hint="cs"/>
          <w:b/>
          <w:bCs/>
          <w:rtl/>
        </w:rPr>
        <w:t>%</w:t>
      </w:r>
      <w:r w:rsidR="00211679">
        <w:rPr>
          <w:rFonts w:hint="cs"/>
          <w:rtl/>
        </w:rPr>
        <w:t>،</w:t>
      </w:r>
      <w:r>
        <w:rPr>
          <w:rFonts w:hint="cs"/>
          <w:rtl/>
        </w:rPr>
        <w:t xml:space="preserve"> </w:t>
      </w:r>
      <w:r w:rsidRPr="00FD3AB5">
        <w:rPr>
          <w:rFonts w:hint="cs"/>
          <w:rtl/>
        </w:rPr>
        <w:t xml:space="preserve">يلي ذلك </w:t>
      </w:r>
      <w:r w:rsidR="00B45AC2" w:rsidRPr="00FD3AB5">
        <w:rPr>
          <w:rFonts w:cs="Simplified Arabic" w:hint="cs"/>
          <w:rtl/>
        </w:rPr>
        <w:t xml:space="preserve">نشاط الإدارة العامة والدفاع </w:t>
      </w:r>
      <w:r w:rsidRPr="00FD3AB5">
        <w:rPr>
          <w:rFonts w:hint="cs"/>
          <w:rtl/>
        </w:rPr>
        <w:t>بنسبة</w:t>
      </w:r>
      <w:r w:rsidR="00B45AC2" w:rsidRPr="00FD3AB5">
        <w:rPr>
          <w:rFonts w:cs="Simplified Arabic" w:hint="cs"/>
          <w:rtl/>
        </w:rPr>
        <w:t xml:space="preserve"> </w:t>
      </w:r>
      <w:r w:rsidR="005B1870" w:rsidRPr="00FD3AB5">
        <w:rPr>
          <w:rFonts w:cs="Simplified Arabic" w:hint="cs"/>
          <w:rtl/>
        </w:rPr>
        <w:t>14.</w:t>
      </w:r>
      <w:r w:rsidR="00ED3B1C" w:rsidRPr="00FD3AB5">
        <w:rPr>
          <w:rFonts w:cs="Simplified Arabic" w:hint="cs"/>
          <w:rtl/>
        </w:rPr>
        <w:t>0</w:t>
      </w:r>
      <w:r w:rsidR="00B45AC2" w:rsidRPr="00FD3AB5">
        <w:rPr>
          <w:rFonts w:cs="Simplified Arabic" w:hint="cs"/>
          <w:rtl/>
        </w:rPr>
        <w:t>%</w:t>
      </w:r>
      <w:r w:rsidR="00211679">
        <w:rPr>
          <w:rFonts w:cs="Simplified Arabic" w:hint="cs"/>
          <w:rtl/>
        </w:rPr>
        <w:t>،</w:t>
      </w:r>
      <w:r w:rsidR="00B45AC2" w:rsidRPr="00FD3AB5">
        <w:rPr>
          <w:rFonts w:cs="Simplified Arabic" w:hint="cs"/>
          <w:rtl/>
        </w:rPr>
        <w:t xml:space="preserve"> يليه نشاط التعدين والصناعة التحويلية بنسبة بلغت 12.</w:t>
      </w:r>
      <w:r w:rsidR="00ED3B1C" w:rsidRPr="00FD3AB5">
        <w:rPr>
          <w:rFonts w:cs="Simplified Arabic" w:hint="cs"/>
          <w:rtl/>
        </w:rPr>
        <w:t>6</w:t>
      </w:r>
      <w:r w:rsidRPr="00FD3AB5">
        <w:rPr>
          <w:rFonts w:hint="cs"/>
          <w:rtl/>
        </w:rPr>
        <w:t xml:space="preserve">%. </w:t>
      </w:r>
      <w:r w:rsidR="00B45AC2" w:rsidRPr="00FD3AB5">
        <w:rPr>
          <w:rFonts w:cs="Simplified Arabic" w:hint="cs"/>
          <w:rtl/>
        </w:rPr>
        <w:t xml:space="preserve">أما نشاطي </w:t>
      </w:r>
      <w:r w:rsidR="005B1870" w:rsidRPr="00FD3AB5">
        <w:rPr>
          <w:rFonts w:cs="Simplified Arabic" w:hint="cs"/>
          <w:rtl/>
        </w:rPr>
        <w:t xml:space="preserve">الإنشاءات </w:t>
      </w:r>
      <w:r w:rsidR="00B45AC2" w:rsidRPr="00FD3AB5">
        <w:rPr>
          <w:rFonts w:cs="Simplified Arabic" w:hint="cs"/>
          <w:rtl/>
        </w:rPr>
        <w:t>و</w:t>
      </w:r>
      <w:r w:rsidR="005B1870" w:rsidRPr="00FD3AB5">
        <w:rPr>
          <w:rFonts w:cs="Simplified Arabic" w:hint="cs"/>
          <w:rtl/>
        </w:rPr>
        <w:t xml:space="preserve"> التجارة</w:t>
      </w:r>
      <w:r w:rsidR="00B45AC2" w:rsidRPr="00FD3AB5">
        <w:rPr>
          <w:rFonts w:cs="Simplified Arabic" w:hint="cs"/>
          <w:rtl/>
        </w:rPr>
        <w:t xml:space="preserve"> فقد بلغت حصتهما من الناتج المحلي الإجمالي </w:t>
      </w:r>
      <w:r w:rsidR="00ED3B1C" w:rsidRPr="00FD3AB5">
        <w:rPr>
          <w:rFonts w:cs="Simplified Arabic" w:hint="cs"/>
          <w:rtl/>
        </w:rPr>
        <w:t>11.2</w:t>
      </w:r>
      <w:r w:rsidR="00B45AC2" w:rsidRPr="00FD3AB5">
        <w:rPr>
          <w:rFonts w:cs="Simplified Arabic" w:hint="cs"/>
          <w:rtl/>
        </w:rPr>
        <w:t>%</w:t>
      </w:r>
      <w:r w:rsidR="00211679">
        <w:rPr>
          <w:rFonts w:cs="Simplified Arabic" w:hint="cs"/>
          <w:rtl/>
        </w:rPr>
        <w:t xml:space="preserve"> و</w:t>
      </w:r>
      <w:r w:rsidR="00B45AC2" w:rsidRPr="00FD3AB5">
        <w:rPr>
          <w:rFonts w:cs="Simplified Arabic" w:hint="cs"/>
          <w:rtl/>
        </w:rPr>
        <w:t xml:space="preserve"> </w:t>
      </w:r>
      <w:r w:rsidR="00ED3B1C" w:rsidRPr="00FD3AB5">
        <w:rPr>
          <w:rFonts w:cs="Simplified Arabic" w:hint="cs"/>
          <w:rtl/>
        </w:rPr>
        <w:t>9.3</w:t>
      </w:r>
      <w:r w:rsidR="00B45AC2" w:rsidRPr="00FD3AB5">
        <w:rPr>
          <w:rFonts w:cs="Simplified Arabic" w:hint="cs"/>
          <w:rtl/>
        </w:rPr>
        <w:t>% على التوالي.</w:t>
      </w:r>
      <w:r w:rsidR="00B45AC2" w:rsidRPr="00ED3B1C">
        <w:rPr>
          <w:rFonts w:cs="Simplified Arabic" w:hint="cs"/>
          <w:rtl/>
        </w:rPr>
        <w:t xml:space="preserve"> </w:t>
      </w:r>
    </w:p>
    <w:p w:rsidR="00F63205" w:rsidRPr="00C12113" w:rsidRDefault="00774F22" w:rsidP="005069DB">
      <w:pPr>
        <w:spacing w:before="240" w:after="200"/>
        <w:jc w:val="lowKashida"/>
        <w:rPr>
          <w:rFonts w:cs="Simplified Arabic"/>
          <w:color w:val="FF0000"/>
          <w:rtl/>
        </w:rPr>
      </w:pPr>
      <w:r>
        <w:rPr>
          <w:rFonts w:hint="cs"/>
          <w:b/>
          <w:bCs/>
          <w:rtl/>
        </w:rPr>
        <w:t>و</w:t>
      </w:r>
      <w:r w:rsidR="00FD3AB5" w:rsidRPr="002A6E82">
        <w:rPr>
          <w:rFonts w:hint="cs"/>
          <w:b/>
          <w:bCs/>
          <w:rtl/>
        </w:rPr>
        <w:t>تباينت</w:t>
      </w:r>
      <w:r w:rsidR="00B45AC2" w:rsidRPr="002A6E82">
        <w:rPr>
          <w:rFonts w:hint="cs"/>
          <w:b/>
          <w:bCs/>
          <w:rtl/>
        </w:rPr>
        <w:t xml:space="preserve"> </w:t>
      </w:r>
      <w:r w:rsidR="00B45AC2" w:rsidRPr="002A6E82">
        <w:rPr>
          <w:rFonts w:cs="Simplified Arabic" w:hint="cs"/>
          <w:b/>
          <w:bCs/>
          <w:rtl/>
        </w:rPr>
        <w:t>هيكلية</w:t>
      </w:r>
      <w:r w:rsidR="00B45AC2" w:rsidRPr="002A6E82">
        <w:rPr>
          <w:rFonts w:hint="cs"/>
          <w:b/>
          <w:bCs/>
          <w:rtl/>
        </w:rPr>
        <w:t xml:space="preserve"> الأنشطة الاقتصادية بين الضفة الغربية وقطاع غزة</w:t>
      </w:r>
      <w:r w:rsidR="002A6E82">
        <w:rPr>
          <w:rFonts w:hint="cs"/>
          <w:b/>
          <w:bCs/>
          <w:rtl/>
        </w:rPr>
        <w:t xml:space="preserve"> خلال العام 2011</w:t>
      </w:r>
      <w:r w:rsidR="00FD3AB5" w:rsidRPr="002A6E82">
        <w:rPr>
          <w:rFonts w:hint="cs"/>
          <w:b/>
          <w:bCs/>
          <w:rtl/>
        </w:rPr>
        <w:t xml:space="preserve">. فبالرغم من أن </w:t>
      </w:r>
      <w:r w:rsidR="00B45AC2" w:rsidRPr="002A6E82">
        <w:rPr>
          <w:rFonts w:cs="Simplified Arabic" w:hint="cs"/>
          <w:b/>
          <w:bCs/>
          <w:rtl/>
        </w:rPr>
        <w:t xml:space="preserve">نشاط الخدمات يمثل الحصة الأكبر للناتج المحلي الإجمالي في </w:t>
      </w:r>
      <w:r w:rsidR="00FD3AB5" w:rsidRPr="002A6E82">
        <w:rPr>
          <w:rFonts w:cs="Simplified Arabic" w:hint="cs"/>
          <w:b/>
          <w:bCs/>
          <w:rtl/>
        </w:rPr>
        <w:t xml:space="preserve">كل من </w:t>
      </w:r>
      <w:r w:rsidR="00B45AC2" w:rsidRPr="002A6E82">
        <w:rPr>
          <w:rFonts w:cs="Simplified Arabic" w:hint="cs"/>
          <w:b/>
          <w:bCs/>
          <w:rtl/>
        </w:rPr>
        <w:t>الضفة الغربية وقطاع غزة</w:t>
      </w:r>
      <w:r w:rsidR="00FD3AB5" w:rsidRPr="002A6E82">
        <w:rPr>
          <w:rFonts w:cs="Simplified Arabic" w:hint="cs"/>
          <w:b/>
          <w:bCs/>
          <w:rtl/>
        </w:rPr>
        <w:t xml:space="preserve">، إلا أنه يمثل حوالي ثلث الناتج المحلي الإجمالي </w:t>
      </w:r>
      <w:r w:rsidR="002A6E82" w:rsidRPr="002A6E82">
        <w:rPr>
          <w:rFonts w:cs="Simplified Arabic" w:hint="cs"/>
          <w:b/>
          <w:bCs/>
          <w:rtl/>
        </w:rPr>
        <w:t>ل</w:t>
      </w:r>
      <w:r w:rsidR="00FD3AB5" w:rsidRPr="002A6E82">
        <w:rPr>
          <w:rFonts w:cs="Simplified Arabic" w:hint="cs"/>
          <w:b/>
          <w:bCs/>
          <w:rtl/>
        </w:rPr>
        <w:t>قطاع غزة (31.3</w:t>
      </w:r>
      <w:r w:rsidR="002A6E82" w:rsidRPr="002A6E82">
        <w:rPr>
          <w:rFonts w:cs="Simplified Arabic" w:hint="cs"/>
          <w:b/>
          <w:bCs/>
          <w:rtl/>
        </w:rPr>
        <w:t>%</w:t>
      </w:r>
      <w:r w:rsidR="00FD3AB5" w:rsidRPr="002A6E82">
        <w:rPr>
          <w:rFonts w:cs="Simplified Arabic" w:hint="cs"/>
          <w:b/>
          <w:bCs/>
          <w:rtl/>
        </w:rPr>
        <w:t xml:space="preserve">) بينما تبلغ مساهمة هذا النشاط 17.9% </w:t>
      </w:r>
      <w:r w:rsidR="002A6E82" w:rsidRPr="002A6E82">
        <w:rPr>
          <w:rFonts w:cs="Simplified Arabic" w:hint="cs"/>
          <w:b/>
          <w:bCs/>
          <w:rtl/>
        </w:rPr>
        <w:t>من الناتج المحلي الإجمالي للضفة الغربية.</w:t>
      </w:r>
      <w:r w:rsidR="002A6E82">
        <w:rPr>
          <w:rFonts w:cs="Simplified Arabic" w:hint="cs"/>
          <w:b/>
          <w:bCs/>
          <w:rtl/>
        </w:rPr>
        <w:t xml:space="preserve"> </w:t>
      </w:r>
      <w:r w:rsidR="002A6E82" w:rsidRPr="002A6E82">
        <w:rPr>
          <w:rFonts w:cs="Simplified Arabic" w:hint="cs"/>
          <w:rtl/>
        </w:rPr>
        <w:t>كما يمثل</w:t>
      </w:r>
      <w:r w:rsidR="002A6E82">
        <w:rPr>
          <w:rFonts w:cs="Simplified Arabic" w:hint="cs"/>
          <w:b/>
          <w:bCs/>
          <w:rtl/>
        </w:rPr>
        <w:t xml:space="preserve"> </w:t>
      </w:r>
      <w:r w:rsidR="00B45AC2" w:rsidRPr="00ED3B1C">
        <w:rPr>
          <w:rFonts w:cs="Simplified Arabic" w:hint="cs"/>
          <w:rtl/>
        </w:rPr>
        <w:t xml:space="preserve">نشاط الإدارة العامة والدفاع في قطاع غزة </w:t>
      </w:r>
      <w:r w:rsidR="002A6E82">
        <w:rPr>
          <w:rFonts w:cs="Simplified Arabic" w:hint="cs"/>
          <w:rtl/>
        </w:rPr>
        <w:t>23.9% مقابل 9.9% في الضفة الغربية، و</w:t>
      </w:r>
      <w:r w:rsidR="00B45AC2" w:rsidRPr="00ED3B1C">
        <w:rPr>
          <w:rFonts w:cs="Simplified Arabic" w:hint="cs"/>
          <w:rtl/>
        </w:rPr>
        <w:t xml:space="preserve">يمثل </w:t>
      </w:r>
      <w:r w:rsidR="002A6E82">
        <w:rPr>
          <w:rFonts w:cs="Simplified Arabic" w:hint="cs"/>
          <w:rtl/>
        </w:rPr>
        <w:t>قطاع الإنشاءات 14.</w:t>
      </w:r>
      <w:r w:rsidR="005069DB">
        <w:rPr>
          <w:rFonts w:cs="Simplified Arabic" w:hint="cs"/>
          <w:rtl/>
        </w:rPr>
        <w:t>1</w:t>
      </w:r>
      <w:r w:rsidR="002A6E82">
        <w:rPr>
          <w:rFonts w:cs="Simplified Arabic" w:hint="cs"/>
          <w:rtl/>
        </w:rPr>
        <w:t xml:space="preserve">% في قطاع غزة مقابل </w:t>
      </w:r>
      <w:r w:rsidR="005069DB">
        <w:rPr>
          <w:rFonts w:cs="Simplified Arabic" w:hint="cs"/>
          <w:rtl/>
        </w:rPr>
        <w:t>10.0</w:t>
      </w:r>
      <w:r w:rsidR="002A6E82">
        <w:rPr>
          <w:rFonts w:cs="Simplified Arabic" w:hint="cs"/>
          <w:rtl/>
        </w:rPr>
        <w:t xml:space="preserve">% في الضفة الغربية. </w:t>
      </w:r>
      <w:r w:rsidR="00B45AC2" w:rsidRPr="00ED3B1C">
        <w:rPr>
          <w:rFonts w:cs="Simplified Arabic" w:hint="cs"/>
          <w:rtl/>
        </w:rPr>
        <w:t xml:space="preserve">بالمقابل </w:t>
      </w:r>
      <w:r w:rsidR="002A6E82">
        <w:rPr>
          <w:rFonts w:cs="Simplified Arabic" w:hint="cs"/>
          <w:rtl/>
        </w:rPr>
        <w:t>يساهم</w:t>
      </w:r>
      <w:r w:rsidR="00B45AC2" w:rsidRPr="00ED3B1C">
        <w:rPr>
          <w:rFonts w:cs="Simplified Arabic" w:hint="cs"/>
          <w:rtl/>
        </w:rPr>
        <w:t xml:space="preserve"> نشاط التعدين والصناعة التحويلية </w:t>
      </w:r>
      <w:r w:rsidR="002A6E82">
        <w:rPr>
          <w:rFonts w:cs="Simplified Arabic" w:hint="cs"/>
          <w:rtl/>
        </w:rPr>
        <w:t>بنسبة 14.2% من الناتج المحلي الإجمالي لل</w:t>
      </w:r>
      <w:r w:rsidR="002A6E82" w:rsidRPr="00ED3B1C">
        <w:rPr>
          <w:rFonts w:cs="Simplified Arabic" w:hint="cs"/>
          <w:rtl/>
        </w:rPr>
        <w:t>ضفة الغربية</w:t>
      </w:r>
      <w:r w:rsidR="002A6E82">
        <w:rPr>
          <w:rFonts w:cs="Simplified Arabic" w:hint="cs"/>
          <w:rtl/>
        </w:rPr>
        <w:t xml:space="preserve"> مقابل 8.8% في قطاع غزة، ويمثل قطاع الم</w:t>
      </w:r>
      <w:r w:rsidR="005069DB">
        <w:rPr>
          <w:rFonts w:cs="Simplified Arabic" w:hint="cs"/>
          <w:rtl/>
        </w:rPr>
        <w:t>عل</w:t>
      </w:r>
      <w:r w:rsidR="002A6E82">
        <w:rPr>
          <w:rFonts w:cs="Simplified Arabic" w:hint="cs"/>
          <w:rtl/>
        </w:rPr>
        <w:t xml:space="preserve">ومات والاتصالات 8.9% في الضفة الغربية مقابل 0.3% في قطاع غزة. أما </w:t>
      </w:r>
      <w:r w:rsidR="00B45AC2" w:rsidRPr="00ED3B1C">
        <w:rPr>
          <w:rFonts w:cs="Simplified Arabic" w:hint="cs"/>
          <w:rtl/>
        </w:rPr>
        <w:t>نشاط الزراعة</w:t>
      </w:r>
      <w:r w:rsidR="002A6E82">
        <w:rPr>
          <w:rFonts w:cs="Simplified Arabic" w:hint="cs"/>
          <w:rtl/>
        </w:rPr>
        <w:t>، فقد بلغت مساهمته في الناتج المحلي ل</w:t>
      </w:r>
      <w:r w:rsidR="00B45AC2" w:rsidRPr="00ED3B1C">
        <w:rPr>
          <w:rFonts w:cs="Simplified Arabic" w:hint="cs"/>
          <w:rtl/>
        </w:rPr>
        <w:t xml:space="preserve">قطاع غزة </w:t>
      </w:r>
      <w:r w:rsidR="00ED3B1C" w:rsidRPr="00ED3B1C">
        <w:rPr>
          <w:rFonts w:cs="Simplified Arabic" w:hint="cs"/>
          <w:rtl/>
        </w:rPr>
        <w:t>6.8</w:t>
      </w:r>
      <w:r w:rsidR="00B45AC2" w:rsidRPr="00ED3B1C">
        <w:rPr>
          <w:rFonts w:cs="Simplified Arabic" w:hint="cs"/>
          <w:rtl/>
        </w:rPr>
        <w:t xml:space="preserve">% مقابل </w:t>
      </w:r>
      <w:r w:rsidR="00ED3B1C" w:rsidRPr="00ED3B1C">
        <w:rPr>
          <w:rFonts w:cs="Simplified Arabic" w:hint="cs"/>
          <w:rtl/>
        </w:rPr>
        <w:t>4.9</w:t>
      </w:r>
      <w:r w:rsidR="002A6E82" w:rsidRPr="00ED3B1C">
        <w:rPr>
          <w:rFonts w:cs="Simplified Arabic" w:hint="cs"/>
          <w:rtl/>
        </w:rPr>
        <w:t>%</w:t>
      </w:r>
      <w:r w:rsidR="002A6E82" w:rsidRPr="00C12113">
        <w:rPr>
          <w:rFonts w:cs="Simplified Arabic" w:hint="cs"/>
          <w:color w:val="FF0000"/>
          <w:rtl/>
        </w:rPr>
        <w:t xml:space="preserve"> </w:t>
      </w:r>
      <w:r w:rsidR="002A6E82" w:rsidRPr="00ED3B1C">
        <w:rPr>
          <w:rFonts w:cs="Simplified Arabic" w:hint="cs"/>
          <w:rtl/>
        </w:rPr>
        <w:t>في الضفة الغربية</w:t>
      </w:r>
      <w:r w:rsidR="002A6E82">
        <w:rPr>
          <w:rFonts w:cs="Simplified Arabic" w:hint="cs"/>
          <w:rtl/>
        </w:rPr>
        <w:t>.</w:t>
      </w:r>
      <w:r w:rsidR="002A6E82" w:rsidRPr="00ED3B1C">
        <w:rPr>
          <w:rFonts w:cs="Simplified Arabic" w:hint="cs"/>
          <w:rtl/>
        </w:rPr>
        <w:t xml:space="preserve"> </w:t>
      </w:r>
    </w:p>
    <w:p w:rsidR="00F63205" w:rsidRPr="00C12113" w:rsidRDefault="00F63205">
      <w:pPr>
        <w:jc w:val="lowKashida"/>
        <w:rPr>
          <w:rFonts w:cs="Simplified Arabic"/>
          <w:color w:val="FF0000"/>
          <w:rtl/>
        </w:rPr>
      </w:pPr>
    </w:p>
    <w:tbl>
      <w:tblPr>
        <w:bidiVisual/>
        <w:tblW w:w="9481" w:type="dxa"/>
        <w:jc w:val="center"/>
        <w:tblInd w:w="255" w:type="dxa"/>
        <w:tblLook w:val="04A0"/>
      </w:tblPr>
      <w:tblGrid>
        <w:gridCol w:w="5046"/>
        <w:gridCol w:w="4866"/>
      </w:tblGrid>
      <w:tr w:rsidR="00265E1A" w:rsidRPr="00C12113" w:rsidTr="007C57E2">
        <w:trPr>
          <w:trHeight w:val="4023"/>
          <w:jc w:val="center"/>
        </w:trPr>
        <w:tc>
          <w:tcPr>
            <w:tcW w:w="4615" w:type="dxa"/>
          </w:tcPr>
          <w:p w:rsidR="00265E1A" w:rsidRPr="00385CDA" w:rsidRDefault="00265E1A" w:rsidP="00006D99">
            <w:pPr>
              <w:jc w:val="center"/>
              <w:rPr>
                <w:rFonts w:cs="Simplified Arabic"/>
                <w:b/>
                <w:bCs/>
                <w:sz w:val="22"/>
                <w:szCs w:val="22"/>
                <w:rtl/>
              </w:rPr>
            </w:pPr>
            <w:r w:rsidRPr="00385CDA">
              <w:rPr>
                <w:rFonts w:cs="Simplified Arabic" w:hint="cs"/>
                <w:b/>
                <w:bCs/>
                <w:sz w:val="22"/>
                <w:szCs w:val="22"/>
                <w:rtl/>
              </w:rPr>
              <w:t xml:space="preserve">شكل </w:t>
            </w:r>
            <w:r w:rsidR="00006D99">
              <w:rPr>
                <w:rFonts w:cs="Simplified Arabic" w:hint="cs"/>
                <w:b/>
                <w:bCs/>
                <w:sz w:val="22"/>
                <w:szCs w:val="22"/>
                <w:rtl/>
              </w:rPr>
              <w:t>3</w:t>
            </w:r>
            <w:r w:rsidRPr="00385CDA">
              <w:rPr>
                <w:rFonts w:cs="Simplified Arabic" w:hint="cs"/>
                <w:b/>
                <w:bCs/>
                <w:sz w:val="22"/>
                <w:szCs w:val="22"/>
                <w:rtl/>
              </w:rPr>
              <w:t xml:space="preserve">: مساهمة الأنشطة الاقتصادية في الناتج المحلي </w:t>
            </w:r>
          </w:p>
          <w:p w:rsidR="00265E1A" w:rsidRPr="00385CDA" w:rsidRDefault="00480055" w:rsidP="00F36C46">
            <w:pPr>
              <w:jc w:val="center"/>
              <w:rPr>
                <w:rFonts w:cs="Simplified Arabic"/>
                <w:sz w:val="22"/>
                <w:szCs w:val="22"/>
              </w:rPr>
            </w:pPr>
            <w:r w:rsidRPr="00385CDA">
              <w:rPr>
                <w:rFonts w:cs="Simplified Arabic" w:hint="cs"/>
                <w:b/>
                <w:bCs/>
                <w:sz w:val="22"/>
                <w:szCs w:val="22"/>
                <w:rtl/>
              </w:rPr>
              <w:t>الإجمالي</w:t>
            </w:r>
            <w:r w:rsidR="00265E1A" w:rsidRPr="00385CDA">
              <w:rPr>
                <w:rFonts w:cs="Simplified Arabic" w:hint="cs"/>
                <w:b/>
                <w:bCs/>
                <w:sz w:val="22"/>
                <w:szCs w:val="22"/>
                <w:rtl/>
              </w:rPr>
              <w:t xml:space="preserve"> </w:t>
            </w:r>
            <w:r w:rsidR="00F36C46">
              <w:rPr>
                <w:rFonts w:cs="Simplified Arabic" w:hint="cs"/>
                <w:b/>
                <w:bCs/>
                <w:sz w:val="22"/>
                <w:szCs w:val="22"/>
                <w:rtl/>
              </w:rPr>
              <w:t xml:space="preserve">في </w:t>
            </w:r>
            <w:r w:rsidR="00265E1A" w:rsidRPr="00385CDA">
              <w:rPr>
                <w:rFonts w:cs="Simplified Arabic" w:hint="cs"/>
                <w:b/>
                <w:bCs/>
                <w:sz w:val="22"/>
                <w:szCs w:val="22"/>
                <w:rtl/>
              </w:rPr>
              <w:t>الضفة الغربية</w:t>
            </w:r>
            <w:r w:rsidR="00E94C87">
              <w:rPr>
                <w:rFonts w:cs="Simplified Arabic" w:hint="cs"/>
                <w:b/>
                <w:bCs/>
                <w:sz w:val="22"/>
                <w:szCs w:val="22"/>
                <w:rtl/>
              </w:rPr>
              <w:t>،</w:t>
            </w:r>
            <w:r w:rsidR="00265E1A" w:rsidRPr="00385CDA">
              <w:rPr>
                <w:rFonts w:cs="Simplified Arabic" w:hint="cs"/>
                <w:b/>
                <w:bCs/>
                <w:sz w:val="22"/>
                <w:szCs w:val="22"/>
                <w:rtl/>
              </w:rPr>
              <w:t xml:space="preserve"> </w:t>
            </w:r>
            <w:r w:rsidR="00A56F01" w:rsidRPr="00385CDA">
              <w:rPr>
                <w:rFonts w:cs="Simplified Arabic" w:hint="cs"/>
                <w:b/>
                <w:bCs/>
                <w:sz w:val="22"/>
                <w:szCs w:val="22"/>
                <w:rtl/>
              </w:rPr>
              <w:t>2011</w:t>
            </w:r>
          </w:p>
          <w:p w:rsidR="00265E1A" w:rsidRPr="00385CDA" w:rsidRDefault="00265E1A" w:rsidP="00C37A1F">
            <w:pPr>
              <w:spacing w:after="120"/>
              <w:jc w:val="center"/>
              <w:rPr>
                <w:rFonts w:cs="Simplified Arabic"/>
                <w:rtl/>
              </w:rPr>
            </w:pPr>
            <w:r w:rsidRPr="00385CDA">
              <w:rPr>
                <w:noProof/>
                <w:lang w:eastAsia="en-US"/>
              </w:rPr>
              <w:drawing>
                <wp:inline distT="0" distB="0" distL="0" distR="0">
                  <wp:extent cx="3028950" cy="24574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4866" w:type="dxa"/>
          </w:tcPr>
          <w:p w:rsidR="00265E1A" w:rsidRPr="00385CDA" w:rsidRDefault="00265E1A" w:rsidP="00006D99">
            <w:pPr>
              <w:jc w:val="center"/>
              <w:rPr>
                <w:rFonts w:cs="Simplified Arabic"/>
                <w:b/>
                <w:bCs/>
                <w:sz w:val="22"/>
                <w:szCs w:val="22"/>
                <w:rtl/>
              </w:rPr>
            </w:pPr>
            <w:r w:rsidRPr="00385CDA">
              <w:rPr>
                <w:rFonts w:cs="Simplified Arabic" w:hint="cs"/>
                <w:b/>
                <w:bCs/>
                <w:sz w:val="22"/>
                <w:szCs w:val="22"/>
                <w:rtl/>
              </w:rPr>
              <w:t xml:space="preserve">شكل </w:t>
            </w:r>
            <w:r w:rsidR="00006D99">
              <w:rPr>
                <w:rFonts w:cs="Simplified Arabic" w:hint="cs"/>
                <w:b/>
                <w:bCs/>
                <w:sz w:val="22"/>
                <w:szCs w:val="22"/>
                <w:rtl/>
              </w:rPr>
              <w:t>4</w:t>
            </w:r>
            <w:r w:rsidRPr="00385CDA">
              <w:rPr>
                <w:rFonts w:cs="Simplified Arabic" w:hint="cs"/>
                <w:b/>
                <w:bCs/>
                <w:sz w:val="22"/>
                <w:szCs w:val="22"/>
                <w:rtl/>
              </w:rPr>
              <w:t xml:space="preserve">: مساهمة الأنشطة الاقتصادية في الناتج المحلي </w:t>
            </w:r>
          </w:p>
          <w:p w:rsidR="00265E1A" w:rsidRPr="00385CDA" w:rsidRDefault="00480055" w:rsidP="00F36C46">
            <w:pPr>
              <w:jc w:val="center"/>
              <w:rPr>
                <w:rFonts w:cs="Simplified Arabic"/>
                <w:sz w:val="22"/>
                <w:szCs w:val="22"/>
              </w:rPr>
            </w:pPr>
            <w:r w:rsidRPr="00385CDA">
              <w:rPr>
                <w:rFonts w:cs="Simplified Arabic" w:hint="cs"/>
                <w:b/>
                <w:bCs/>
                <w:sz w:val="22"/>
                <w:szCs w:val="22"/>
                <w:rtl/>
              </w:rPr>
              <w:t>الإجمالي</w:t>
            </w:r>
            <w:r w:rsidR="00265E1A" w:rsidRPr="00385CDA">
              <w:rPr>
                <w:rFonts w:cs="Simplified Arabic" w:hint="cs"/>
                <w:b/>
                <w:bCs/>
                <w:sz w:val="22"/>
                <w:szCs w:val="22"/>
                <w:rtl/>
              </w:rPr>
              <w:t xml:space="preserve"> </w:t>
            </w:r>
            <w:r w:rsidR="00F36C46">
              <w:rPr>
                <w:rFonts w:cs="Simplified Arabic" w:hint="cs"/>
                <w:b/>
                <w:bCs/>
                <w:sz w:val="22"/>
                <w:szCs w:val="22"/>
                <w:rtl/>
              </w:rPr>
              <w:t xml:space="preserve">في </w:t>
            </w:r>
            <w:r w:rsidR="00265E1A" w:rsidRPr="00385CDA">
              <w:rPr>
                <w:rFonts w:cs="Simplified Arabic" w:hint="cs"/>
                <w:b/>
                <w:bCs/>
                <w:sz w:val="22"/>
                <w:szCs w:val="22"/>
                <w:rtl/>
              </w:rPr>
              <w:t>قطاع غزة</w:t>
            </w:r>
            <w:r w:rsidR="00E94C87">
              <w:rPr>
                <w:rFonts w:cs="Simplified Arabic" w:hint="cs"/>
                <w:b/>
                <w:bCs/>
                <w:sz w:val="22"/>
                <w:szCs w:val="22"/>
                <w:rtl/>
              </w:rPr>
              <w:t>،</w:t>
            </w:r>
            <w:r w:rsidR="00265E1A" w:rsidRPr="00385CDA">
              <w:rPr>
                <w:rFonts w:cs="Simplified Arabic" w:hint="cs"/>
                <w:b/>
                <w:bCs/>
                <w:sz w:val="22"/>
                <w:szCs w:val="22"/>
                <w:rtl/>
              </w:rPr>
              <w:t xml:space="preserve"> </w:t>
            </w:r>
            <w:r w:rsidR="00A56F01" w:rsidRPr="00385CDA">
              <w:rPr>
                <w:rFonts w:cs="Simplified Arabic" w:hint="cs"/>
                <w:b/>
                <w:bCs/>
                <w:sz w:val="22"/>
                <w:szCs w:val="22"/>
                <w:rtl/>
              </w:rPr>
              <w:t>2011</w:t>
            </w:r>
          </w:p>
          <w:p w:rsidR="00265E1A" w:rsidRPr="00385CDA" w:rsidRDefault="00265E1A" w:rsidP="00C37A1F">
            <w:pPr>
              <w:spacing w:after="120"/>
              <w:jc w:val="lowKashida"/>
              <w:rPr>
                <w:rFonts w:cs="Simplified Arabic"/>
                <w:rtl/>
              </w:rPr>
            </w:pPr>
            <w:r w:rsidRPr="00385CDA">
              <w:rPr>
                <w:noProof/>
                <w:lang w:eastAsia="en-US"/>
              </w:rPr>
              <w:drawing>
                <wp:inline distT="0" distB="0" distL="0" distR="0">
                  <wp:extent cx="2914650" cy="2447925"/>
                  <wp:effectExtent l="19050" t="0" r="1905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205" w:rsidRPr="00C12113" w:rsidRDefault="00F63205">
      <w:pPr>
        <w:jc w:val="lowKashida"/>
        <w:rPr>
          <w:rFonts w:cs="Simplified Arabic"/>
          <w:color w:val="FF0000"/>
          <w:rtl/>
        </w:rPr>
      </w:pPr>
    </w:p>
    <w:p w:rsidR="00F63205" w:rsidRPr="00C12113" w:rsidRDefault="00F63205">
      <w:pPr>
        <w:jc w:val="lowKashida"/>
        <w:rPr>
          <w:rFonts w:cs="Simplified Arabic"/>
          <w:color w:val="FF0000"/>
          <w:rtl/>
        </w:rPr>
      </w:pPr>
    </w:p>
    <w:p w:rsidR="00F63205" w:rsidRPr="00C12113" w:rsidRDefault="00F63205">
      <w:pPr>
        <w:jc w:val="lowKashida"/>
        <w:rPr>
          <w:rFonts w:cs="Simplified Arabic"/>
          <w:color w:val="FF0000"/>
          <w:rtl/>
        </w:rPr>
      </w:pPr>
    </w:p>
    <w:p w:rsidR="00F63205" w:rsidRPr="00C12113" w:rsidRDefault="00DD761D">
      <w:pPr>
        <w:jc w:val="lowKashida"/>
        <w:rPr>
          <w:rFonts w:cs="Simplified Arabic"/>
          <w:color w:val="FF0000"/>
          <w:rtl/>
        </w:rPr>
      </w:pPr>
      <w:r w:rsidRPr="00C12113">
        <w:rPr>
          <w:rFonts w:cs="Simplified Arabic" w:hint="cs"/>
          <w:color w:val="FF0000"/>
          <w:rtl/>
        </w:rPr>
        <w:t xml:space="preserve"> </w:t>
      </w:r>
    </w:p>
    <w:p w:rsidR="00F63205" w:rsidRPr="00C12113" w:rsidRDefault="00F63205">
      <w:pPr>
        <w:jc w:val="lowKashida"/>
        <w:rPr>
          <w:rFonts w:cs="Simplified Arabic"/>
          <w:color w:val="FF0000"/>
          <w:rtl/>
        </w:rPr>
      </w:pPr>
    </w:p>
    <w:p w:rsidR="00F63205" w:rsidRPr="00C12113" w:rsidRDefault="00F63205">
      <w:pPr>
        <w:jc w:val="lowKashida"/>
        <w:rPr>
          <w:rFonts w:cs="Simplified Arabic"/>
          <w:color w:val="FF0000"/>
          <w:rtl/>
        </w:rPr>
      </w:pPr>
    </w:p>
    <w:p w:rsidR="00F63205" w:rsidRPr="00165FD2" w:rsidRDefault="0097130C">
      <w:pPr>
        <w:pStyle w:val="Heading2"/>
        <w:jc w:val="both"/>
        <w:rPr>
          <w:color w:val="000000" w:themeColor="text1"/>
          <w:rtl/>
        </w:rPr>
      </w:pPr>
      <w:r>
        <w:rPr>
          <w:rFonts w:hint="cs"/>
          <w:color w:val="000000" w:themeColor="text1"/>
          <w:rtl/>
        </w:rPr>
        <w:lastRenderedPageBreak/>
        <w:t>2</w:t>
      </w:r>
      <w:r w:rsidR="00B45AC2" w:rsidRPr="00165FD2">
        <w:rPr>
          <w:rFonts w:hint="cs"/>
          <w:color w:val="000000" w:themeColor="text1"/>
          <w:rtl/>
        </w:rPr>
        <w:t>- سوق العمل</w:t>
      </w:r>
    </w:p>
    <w:p w:rsidR="00F63205" w:rsidRPr="00165FD2" w:rsidRDefault="00B45AC2" w:rsidP="002016D9">
      <w:pPr>
        <w:spacing w:before="240" w:after="200"/>
        <w:jc w:val="lowKashida"/>
        <w:rPr>
          <w:rFonts w:cs="Simplified Arabic"/>
          <w:color w:val="000000" w:themeColor="text1"/>
          <w:rtl/>
        </w:rPr>
      </w:pPr>
      <w:r w:rsidRPr="00165FD2">
        <w:rPr>
          <w:rFonts w:cs="Simplified Arabic" w:hint="cs"/>
          <w:color w:val="000000" w:themeColor="text1"/>
          <w:rtl/>
        </w:rPr>
        <w:t xml:space="preserve">يعتبر العمل أحد أهم عناصر الإنتاج في الاقتصاد الفلسطيني </w:t>
      </w:r>
      <w:r w:rsidR="0097130C">
        <w:rPr>
          <w:rFonts w:cs="Simplified Arabic" w:hint="cs"/>
          <w:color w:val="000000" w:themeColor="text1"/>
          <w:rtl/>
        </w:rPr>
        <w:t xml:space="preserve">في ظل محدودية </w:t>
      </w:r>
      <w:r w:rsidRPr="00165FD2">
        <w:rPr>
          <w:rFonts w:cs="Simplified Arabic" w:hint="cs"/>
          <w:color w:val="000000" w:themeColor="text1"/>
          <w:rtl/>
        </w:rPr>
        <w:t xml:space="preserve">الموارد </w:t>
      </w:r>
      <w:r w:rsidR="0097130C">
        <w:rPr>
          <w:rFonts w:cs="Simplified Arabic" w:hint="cs"/>
          <w:color w:val="000000" w:themeColor="text1"/>
          <w:rtl/>
        </w:rPr>
        <w:t>الطبيعية وسيطرة إسرائيل على الأرض والمياه والقيود التي تفرضها على حركة الأفراد ورؤوس الأموال. ويشير جدول 3 إلى بعض المؤشرات الرئيسية لسوق العمل الفلسطيني خلال الفترة 2004-2011.</w:t>
      </w:r>
    </w:p>
    <w:p w:rsidR="00F63205" w:rsidRPr="00165FD2" w:rsidRDefault="00B45AC2" w:rsidP="00B87949">
      <w:pPr>
        <w:jc w:val="center"/>
        <w:rPr>
          <w:b/>
          <w:bCs/>
          <w:color w:val="000000" w:themeColor="text1"/>
          <w:sz w:val="22"/>
          <w:szCs w:val="22"/>
          <w:rtl/>
        </w:rPr>
      </w:pPr>
      <w:r w:rsidRPr="00165FD2">
        <w:rPr>
          <w:rFonts w:hint="cs"/>
          <w:b/>
          <w:bCs/>
          <w:color w:val="000000" w:themeColor="text1"/>
          <w:sz w:val="22"/>
          <w:szCs w:val="22"/>
          <w:rtl/>
        </w:rPr>
        <w:t>جدول 3: بعض مؤشرات سوق العمل للأفراد 15 سنة فأكثر في الأراضي الفلسطينية، (2004-</w:t>
      </w:r>
      <w:r w:rsidR="00B87949" w:rsidRPr="00165FD2">
        <w:rPr>
          <w:rFonts w:hint="cs"/>
          <w:b/>
          <w:bCs/>
          <w:color w:val="000000" w:themeColor="text1"/>
          <w:sz w:val="22"/>
          <w:szCs w:val="22"/>
          <w:rtl/>
        </w:rPr>
        <w:t>2011</w:t>
      </w:r>
      <w:r w:rsidRPr="00165FD2">
        <w:rPr>
          <w:rFonts w:hint="cs"/>
          <w:b/>
          <w:bCs/>
          <w:color w:val="000000" w:themeColor="text1"/>
          <w:sz w:val="22"/>
          <w:szCs w:val="22"/>
          <w:rtl/>
        </w:rPr>
        <w:t>)</w:t>
      </w:r>
    </w:p>
    <w:tbl>
      <w:tblPr>
        <w:bidiVisual/>
        <w:tblW w:w="9403" w:type="dxa"/>
        <w:tblInd w:w="9" w:type="dxa"/>
        <w:tblLook w:val="0000"/>
      </w:tblPr>
      <w:tblGrid>
        <w:gridCol w:w="2111"/>
        <w:gridCol w:w="919"/>
        <w:gridCol w:w="924"/>
        <w:gridCol w:w="924"/>
        <w:gridCol w:w="924"/>
        <w:gridCol w:w="924"/>
        <w:gridCol w:w="924"/>
        <w:gridCol w:w="924"/>
        <w:gridCol w:w="829"/>
      </w:tblGrid>
      <w:tr w:rsidR="00B87949" w:rsidRPr="00165FD2" w:rsidTr="00C53552">
        <w:trPr>
          <w:trHeight w:val="301"/>
        </w:trPr>
        <w:tc>
          <w:tcPr>
            <w:tcW w:w="2111" w:type="dxa"/>
            <w:tcBorders>
              <w:top w:val="single" w:sz="12" w:space="0" w:color="auto"/>
              <w:bottom w:val="single" w:sz="12" w:space="0" w:color="auto"/>
            </w:tcBorders>
          </w:tcPr>
          <w:p w:rsidR="00B87949" w:rsidRPr="00FB36FA" w:rsidRDefault="00B87949">
            <w:pPr>
              <w:jc w:val="lowKashida"/>
              <w:rPr>
                <w:rFonts w:ascii="Arial" w:hAnsi="Arial" w:cs="Arial"/>
                <w:color w:val="000000" w:themeColor="text1"/>
                <w:sz w:val="18"/>
                <w:szCs w:val="18"/>
                <w:rtl/>
              </w:rPr>
            </w:pPr>
          </w:p>
        </w:tc>
        <w:tc>
          <w:tcPr>
            <w:tcW w:w="919"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2004</w:t>
            </w:r>
          </w:p>
        </w:tc>
        <w:tc>
          <w:tcPr>
            <w:tcW w:w="924"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2005</w:t>
            </w:r>
          </w:p>
        </w:tc>
        <w:tc>
          <w:tcPr>
            <w:tcW w:w="924"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2006</w:t>
            </w:r>
          </w:p>
        </w:tc>
        <w:tc>
          <w:tcPr>
            <w:tcW w:w="924"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2007</w:t>
            </w:r>
          </w:p>
        </w:tc>
        <w:tc>
          <w:tcPr>
            <w:tcW w:w="924"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2008</w:t>
            </w:r>
          </w:p>
        </w:tc>
        <w:tc>
          <w:tcPr>
            <w:tcW w:w="924"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2009</w:t>
            </w:r>
          </w:p>
        </w:tc>
        <w:tc>
          <w:tcPr>
            <w:tcW w:w="924"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2010</w:t>
            </w:r>
          </w:p>
        </w:tc>
        <w:tc>
          <w:tcPr>
            <w:tcW w:w="829" w:type="dxa"/>
            <w:tcBorders>
              <w:top w:val="single" w:sz="12" w:space="0" w:color="auto"/>
              <w:bottom w:val="single" w:sz="12" w:space="0" w:color="auto"/>
            </w:tcBorders>
            <w:vAlign w:val="center"/>
          </w:tcPr>
          <w:p w:rsidR="00B87949" w:rsidRPr="00FB36FA" w:rsidRDefault="00B87949" w:rsidP="00B87949">
            <w:pPr>
              <w:jc w:val="center"/>
              <w:rPr>
                <w:rFonts w:ascii="Arial" w:hAnsi="Arial" w:cs="Arial"/>
                <w:b/>
                <w:bCs/>
                <w:color w:val="000000" w:themeColor="text1"/>
                <w:sz w:val="18"/>
                <w:szCs w:val="18"/>
                <w:rtl/>
              </w:rPr>
            </w:pPr>
            <w:r w:rsidRPr="00FB36FA">
              <w:rPr>
                <w:rFonts w:ascii="Arial" w:hAnsi="Arial" w:cs="Arial"/>
                <w:b/>
                <w:bCs/>
                <w:color w:val="000000" w:themeColor="text1"/>
                <w:sz w:val="18"/>
                <w:szCs w:val="18"/>
                <w:rtl/>
              </w:rPr>
              <w:t>2011</w:t>
            </w:r>
          </w:p>
        </w:tc>
      </w:tr>
      <w:tr w:rsidR="00B87949" w:rsidRPr="00165FD2" w:rsidTr="00C53552">
        <w:trPr>
          <w:trHeight w:val="301"/>
        </w:trPr>
        <w:tc>
          <w:tcPr>
            <w:tcW w:w="2111" w:type="dxa"/>
            <w:vAlign w:val="center"/>
          </w:tcPr>
          <w:p w:rsidR="00B87949" w:rsidRPr="00FB36FA" w:rsidRDefault="00B87949" w:rsidP="00E00BA3">
            <w:pPr>
              <w:rPr>
                <w:rFonts w:ascii="Arial" w:hAnsi="Arial" w:cs="Arial"/>
                <w:color w:val="000000" w:themeColor="text1"/>
                <w:sz w:val="18"/>
                <w:szCs w:val="18"/>
                <w:rtl/>
              </w:rPr>
            </w:pPr>
            <w:r w:rsidRPr="00FB36FA">
              <w:rPr>
                <w:rFonts w:ascii="Arial" w:hAnsi="Arial" w:cs="Arial"/>
                <w:color w:val="000000" w:themeColor="text1"/>
                <w:sz w:val="18"/>
                <w:szCs w:val="18"/>
                <w:rtl/>
              </w:rPr>
              <w:t>حجم القوى العاملة (بالألف)</w:t>
            </w:r>
          </w:p>
        </w:tc>
        <w:tc>
          <w:tcPr>
            <w:tcW w:w="919"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752</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789</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834</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882</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908</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951</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976</w:t>
            </w:r>
          </w:p>
        </w:tc>
        <w:tc>
          <w:tcPr>
            <w:tcW w:w="829" w:type="dxa"/>
            <w:vAlign w:val="center"/>
          </w:tcPr>
          <w:p w:rsidR="00B87949" w:rsidRPr="00FB36FA" w:rsidRDefault="00AC23D6" w:rsidP="00AC23D6">
            <w:pPr>
              <w:jc w:val="center"/>
              <w:rPr>
                <w:rFonts w:ascii="Arial" w:hAnsi="Arial" w:cs="Arial"/>
                <w:color w:val="000000" w:themeColor="text1"/>
                <w:sz w:val="18"/>
                <w:szCs w:val="18"/>
              </w:rPr>
            </w:pPr>
            <w:r w:rsidRPr="00FB36FA">
              <w:rPr>
                <w:rFonts w:ascii="Arial" w:hAnsi="Arial" w:cs="Arial"/>
                <w:color w:val="000000" w:themeColor="text1"/>
                <w:sz w:val="18"/>
                <w:szCs w:val="18"/>
              </w:rPr>
              <w:t>1,059</w:t>
            </w:r>
          </w:p>
        </w:tc>
      </w:tr>
      <w:tr w:rsidR="00B87949" w:rsidRPr="00165FD2" w:rsidTr="00C53552">
        <w:trPr>
          <w:trHeight w:val="301"/>
        </w:trPr>
        <w:tc>
          <w:tcPr>
            <w:tcW w:w="2111" w:type="dxa"/>
          </w:tcPr>
          <w:p w:rsidR="00B87949" w:rsidRPr="00FB36FA" w:rsidRDefault="00B87949">
            <w:pPr>
              <w:rPr>
                <w:rFonts w:ascii="Arial" w:hAnsi="Arial" w:cs="Arial"/>
                <w:color w:val="000000" w:themeColor="text1"/>
                <w:sz w:val="18"/>
                <w:szCs w:val="18"/>
                <w:rtl/>
              </w:rPr>
            </w:pPr>
            <w:r w:rsidRPr="00FB36FA">
              <w:rPr>
                <w:rFonts w:ascii="Arial" w:hAnsi="Arial" w:cs="Arial"/>
                <w:color w:val="000000" w:themeColor="text1"/>
                <w:sz w:val="18"/>
                <w:szCs w:val="18"/>
                <w:rtl/>
              </w:rPr>
              <w:t>نسبة المشاركة في القوى العاملة</w:t>
            </w:r>
          </w:p>
        </w:tc>
        <w:tc>
          <w:tcPr>
            <w:tcW w:w="919"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40.1</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40.4</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41.0</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41.7</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41.2</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41.6</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41.1</w:t>
            </w:r>
          </w:p>
        </w:tc>
        <w:tc>
          <w:tcPr>
            <w:tcW w:w="829" w:type="dxa"/>
            <w:vAlign w:val="center"/>
          </w:tcPr>
          <w:p w:rsidR="00B87949" w:rsidRPr="00FB36FA" w:rsidRDefault="00AC23D6"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43.0</w:t>
            </w:r>
          </w:p>
        </w:tc>
      </w:tr>
      <w:tr w:rsidR="00B87949" w:rsidRPr="00165FD2" w:rsidTr="00C53552">
        <w:trPr>
          <w:trHeight w:val="280"/>
        </w:trPr>
        <w:tc>
          <w:tcPr>
            <w:tcW w:w="2111" w:type="dxa"/>
          </w:tcPr>
          <w:p w:rsidR="00B87949" w:rsidRPr="00FB36FA" w:rsidRDefault="00B87949">
            <w:pPr>
              <w:rPr>
                <w:rFonts w:ascii="Arial" w:hAnsi="Arial" w:cs="Arial"/>
                <w:color w:val="000000" w:themeColor="text1"/>
                <w:sz w:val="18"/>
                <w:szCs w:val="18"/>
              </w:rPr>
            </w:pPr>
            <w:r w:rsidRPr="00FB36FA">
              <w:rPr>
                <w:rFonts w:ascii="Arial" w:hAnsi="Arial" w:cs="Arial"/>
                <w:color w:val="000000" w:themeColor="text1"/>
                <w:sz w:val="18"/>
                <w:szCs w:val="18"/>
                <w:rtl/>
              </w:rPr>
              <w:t>عدد العاملين (بالألف)</w:t>
            </w:r>
          </w:p>
        </w:tc>
        <w:tc>
          <w:tcPr>
            <w:tcW w:w="919"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Pr>
              <w:t>550</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Pr>
              <w:t>603</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637</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691</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666</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717</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Pr>
              <w:t>744</w:t>
            </w:r>
          </w:p>
        </w:tc>
        <w:tc>
          <w:tcPr>
            <w:tcW w:w="829" w:type="dxa"/>
            <w:vAlign w:val="center"/>
          </w:tcPr>
          <w:p w:rsidR="00B87949" w:rsidRPr="00FB36FA" w:rsidRDefault="00AC23D6"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837</w:t>
            </w:r>
          </w:p>
        </w:tc>
      </w:tr>
      <w:tr w:rsidR="00B87949" w:rsidRPr="00165FD2" w:rsidTr="00C53552">
        <w:trPr>
          <w:trHeight w:val="301"/>
        </w:trPr>
        <w:tc>
          <w:tcPr>
            <w:tcW w:w="2111" w:type="dxa"/>
          </w:tcPr>
          <w:p w:rsidR="00B87949" w:rsidRPr="00FB36FA" w:rsidRDefault="00B87949">
            <w:pPr>
              <w:rPr>
                <w:rFonts w:ascii="Arial" w:hAnsi="Arial" w:cs="Arial"/>
                <w:color w:val="000000" w:themeColor="text1"/>
                <w:sz w:val="18"/>
                <w:szCs w:val="18"/>
                <w:rtl/>
              </w:rPr>
            </w:pPr>
            <w:r w:rsidRPr="00FB36FA">
              <w:rPr>
                <w:rFonts w:ascii="Arial" w:hAnsi="Arial" w:cs="Arial"/>
                <w:color w:val="000000" w:themeColor="text1"/>
                <w:sz w:val="18"/>
                <w:szCs w:val="18"/>
                <w:rtl/>
              </w:rPr>
              <w:t>نسبة التغير في أعداد العاملين</w:t>
            </w:r>
          </w:p>
        </w:tc>
        <w:tc>
          <w:tcPr>
            <w:tcW w:w="919"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9.6</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5.</w:t>
            </w:r>
            <w:r w:rsidRPr="00FB36FA">
              <w:rPr>
                <w:rFonts w:ascii="Arial" w:hAnsi="Arial" w:cs="Arial"/>
                <w:color w:val="000000" w:themeColor="text1"/>
                <w:sz w:val="18"/>
                <w:szCs w:val="18"/>
                <w:rtl/>
              </w:rPr>
              <w:t>5</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8.5</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-3.</w:t>
            </w:r>
            <w:r w:rsidRPr="00FB36FA">
              <w:rPr>
                <w:rFonts w:ascii="Arial" w:hAnsi="Arial" w:cs="Arial"/>
                <w:color w:val="000000" w:themeColor="text1"/>
                <w:sz w:val="18"/>
                <w:szCs w:val="18"/>
                <w:rtl/>
              </w:rPr>
              <w:t>5</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w:t>
            </w:r>
            <w:r w:rsidRPr="00FB36FA">
              <w:rPr>
                <w:rFonts w:ascii="Arial" w:hAnsi="Arial" w:cs="Arial"/>
                <w:color w:val="000000" w:themeColor="text1"/>
                <w:sz w:val="18"/>
                <w:szCs w:val="18"/>
                <w:rtl/>
              </w:rPr>
              <w:t>6</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3.</w:t>
            </w:r>
            <w:r w:rsidRPr="00FB36FA">
              <w:rPr>
                <w:rFonts w:ascii="Arial" w:hAnsi="Arial" w:cs="Arial"/>
                <w:color w:val="000000" w:themeColor="text1"/>
                <w:sz w:val="18"/>
                <w:szCs w:val="18"/>
                <w:rtl/>
              </w:rPr>
              <w:t>7</w:t>
            </w:r>
          </w:p>
        </w:tc>
        <w:tc>
          <w:tcPr>
            <w:tcW w:w="829" w:type="dxa"/>
            <w:vAlign w:val="center"/>
          </w:tcPr>
          <w:p w:rsidR="00B87949" w:rsidRPr="00FB36FA" w:rsidRDefault="00B91759" w:rsidP="00AC23D6">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12.6</w:t>
            </w:r>
          </w:p>
        </w:tc>
      </w:tr>
      <w:tr w:rsidR="00B87949" w:rsidRPr="00165FD2" w:rsidTr="00C53552">
        <w:trPr>
          <w:trHeight w:val="602"/>
        </w:trPr>
        <w:tc>
          <w:tcPr>
            <w:tcW w:w="2111" w:type="dxa"/>
          </w:tcPr>
          <w:p w:rsidR="00B87949" w:rsidRPr="00FB36FA" w:rsidRDefault="00B87949">
            <w:pPr>
              <w:rPr>
                <w:rFonts w:ascii="Arial" w:hAnsi="Arial" w:cs="Arial"/>
                <w:color w:val="000000" w:themeColor="text1"/>
                <w:sz w:val="18"/>
                <w:szCs w:val="18"/>
              </w:rPr>
            </w:pPr>
            <w:r w:rsidRPr="00FB36FA">
              <w:rPr>
                <w:rFonts w:ascii="Arial" w:hAnsi="Arial" w:cs="Arial"/>
                <w:color w:val="000000" w:themeColor="text1"/>
                <w:sz w:val="18"/>
                <w:szCs w:val="18"/>
                <w:rtl/>
              </w:rPr>
              <w:t>معدل الأجر اليومي الاسمي (شيكل)</w:t>
            </w:r>
          </w:p>
        </w:tc>
        <w:tc>
          <w:tcPr>
            <w:tcW w:w="919"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Pr>
              <w:t>73.8</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77.0</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81.5</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81.9</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87.0</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91.3</w:t>
            </w:r>
          </w:p>
        </w:tc>
        <w:tc>
          <w:tcPr>
            <w:tcW w:w="924" w:type="dxa"/>
            <w:vAlign w:val="center"/>
          </w:tcPr>
          <w:p w:rsidR="00B87949" w:rsidRPr="00FB36FA" w:rsidRDefault="00B87949" w:rsidP="00AC23D6">
            <w:pPr>
              <w:jc w:val="center"/>
              <w:rPr>
                <w:rFonts w:ascii="Arial" w:hAnsi="Arial" w:cs="Arial"/>
                <w:color w:val="000000" w:themeColor="text1"/>
                <w:sz w:val="18"/>
                <w:szCs w:val="18"/>
              </w:rPr>
            </w:pPr>
            <w:r w:rsidRPr="00FB36FA">
              <w:rPr>
                <w:rFonts w:ascii="Arial" w:hAnsi="Arial" w:cs="Arial"/>
                <w:color w:val="000000" w:themeColor="text1"/>
                <w:sz w:val="18"/>
                <w:szCs w:val="18"/>
                <w:rtl/>
              </w:rPr>
              <w:t>91.7</w:t>
            </w:r>
          </w:p>
        </w:tc>
        <w:tc>
          <w:tcPr>
            <w:tcW w:w="829" w:type="dxa"/>
            <w:vAlign w:val="center"/>
          </w:tcPr>
          <w:p w:rsidR="00B87949" w:rsidRPr="00FB36FA" w:rsidRDefault="00AC23D6"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91.7</w:t>
            </w:r>
          </w:p>
        </w:tc>
      </w:tr>
      <w:tr w:rsidR="00B87949" w:rsidRPr="00165FD2" w:rsidTr="00C53552">
        <w:trPr>
          <w:trHeight w:val="301"/>
        </w:trPr>
        <w:tc>
          <w:tcPr>
            <w:tcW w:w="2111" w:type="dxa"/>
          </w:tcPr>
          <w:p w:rsidR="00B87949" w:rsidRPr="00FB36FA" w:rsidRDefault="00B87949">
            <w:pPr>
              <w:rPr>
                <w:rFonts w:ascii="Arial" w:hAnsi="Arial" w:cs="Arial"/>
                <w:color w:val="000000" w:themeColor="text1"/>
                <w:sz w:val="18"/>
                <w:szCs w:val="18"/>
              </w:rPr>
            </w:pPr>
            <w:r w:rsidRPr="00FB36FA">
              <w:rPr>
                <w:rFonts w:ascii="Arial" w:hAnsi="Arial" w:cs="Arial"/>
                <w:color w:val="000000" w:themeColor="text1"/>
                <w:sz w:val="18"/>
                <w:szCs w:val="18"/>
                <w:rtl/>
              </w:rPr>
              <w:t xml:space="preserve">معدل الأجر اليومي الحقيقي* </w:t>
            </w:r>
          </w:p>
        </w:tc>
        <w:tc>
          <w:tcPr>
            <w:tcW w:w="919"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73.8</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74.0</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75.4</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74.4</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71.9</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73.4</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71.1</w:t>
            </w:r>
          </w:p>
        </w:tc>
        <w:tc>
          <w:tcPr>
            <w:tcW w:w="829" w:type="dxa"/>
            <w:vAlign w:val="center"/>
          </w:tcPr>
          <w:p w:rsidR="00B87949" w:rsidRPr="00FB36FA" w:rsidRDefault="00AC23D6" w:rsidP="00AC23D6">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69.1</w:t>
            </w:r>
          </w:p>
        </w:tc>
      </w:tr>
      <w:tr w:rsidR="00B87949" w:rsidRPr="00165FD2" w:rsidTr="00C53552">
        <w:trPr>
          <w:trHeight w:val="301"/>
        </w:trPr>
        <w:tc>
          <w:tcPr>
            <w:tcW w:w="2111" w:type="dxa"/>
          </w:tcPr>
          <w:p w:rsidR="00B87949" w:rsidRPr="00FB36FA" w:rsidRDefault="00B87949">
            <w:pPr>
              <w:rPr>
                <w:rFonts w:ascii="Arial" w:hAnsi="Arial" w:cs="Arial"/>
                <w:color w:val="000000" w:themeColor="text1"/>
                <w:sz w:val="18"/>
                <w:szCs w:val="18"/>
              </w:rPr>
            </w:pPr>
            <w:r w:rsidRPr="00FB36FA">
              <w:rPr>
                <w:rFonts w:ascii="Arial" w:hAnsi="Arial" w:cs="Arial"/>
                <w:color w:val="000000" w:themeColor="text1"/>
                <w:sz w:val="18"/>
                <w:szCs w:val="18"/>
                <w:rtl/>
              </w:rPr>
              <w:t>معدل البطالة</w:t>
            </w:r>
          </w:p>
        </w:tc>
        <w:tc>
          <w:tcPr>
            <w:tcW w:w="919"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26.8</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23.5</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23.7</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21.7</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26.6</w:t>
            </w:r>
          </w:p>
        </w:tc>
        <w:tc>
          <w:tcPr>
            <w:tcW w:w="924" w:type="dxa"/>
            <w:vAlign w:val="center"/>
          </w:tcPr>
          <w:p w:rsidR="00B87949" w:rsidRPr="00FB36FA" w:rsidRDefault="00B87949" w:rsidP="00AC23D6">
            <w:pPr>
              <w:bidi w:val="0"/>
              <w:jc w:val="center"/>
              <w:rPr>
                <w:rFonts w:ascii="Arial" w:eastAsia="Arial Unicode MS" w:hAnsi="Arial" w:cs="Arial"/>
                <w:color w:val="000000" w:themeColor="text1"/>
                <w:sz w:val="18"/>
                <w:szCs w:val="18"/>
              </w:rPr>
            </w:pPr>
            <w:r w:rsidRPr="00FB36FA">
              <w:rPr>
                <w:rFonts w:ascii="Arial" w:hAnsi="Arial" w:cs="Arial"/>
                <w:color w:val="000000" w:themeColor="text1"/>
                <w:sz w:val="18"/>
                <w:szCs w:val="18"/>
              </w:rPr>
              <w:t>24.5</w:t>
            </w:r>
          </w:p>
        </w:tc>
        <w:tc>
          <w:tcPr>
            <w:tcW w:w="924" w:type="dxa"/>
            <w:vAlign w:val="center"/>
          </w:tcPr>
          <w:p w:rsidR="00B87949" w:rsidRPr="00FB36FA" w:rsidRDefault="00B87949"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Pr>
              <w:t>23.7</w:t>
            </w:r>
          </w:p>
        </w:tc>
        <w:tc>
          <w:tcPr>
            <w:tcW w:w="829" w:type="dxa"/>
            <w:vAlign w:val="center"/>
          </w:tcPr>
          <w:p w:rsidR="00B87949" w:rsidRPr="00FB36FA" w:rsidRDefault="00AC23D6" w:rsidP="00AC23D6">
            <w:pPr>
              <w:jc w:val="center"/>
              <w:rPr>
                <w:rFonts w:ascii="Arial" w:hAnsi="Arial" w:cs="Arial"/>
                <w:color w:val="000000" w:themeColor="text1"/>
                <w:sz w:val="18"/>
                <w:szCs w:val="18"/>
                <w:rtl/>
              </w:rPr>
            </w:pPr>
            <w:r w:rsidRPr="00FB36FA">
              <w:rPr>
                <w:rFonts w:ascii="Arial" w:hAnsi="Arial" w:cs="Arial"/>
                <w:color w:val="000000" w:themeColor="text1"/>
                <w:sz w:val="18"/>
                <w:szCs w:val="18"/>
                <w:rtl/>
              </w:rPr>
              <w:t xml:space="preserve">20.9 </w:t>
            </w:r>
          </w:p>
        </w:tc>
      </w:tr>
      <w:tr w:rsidR="0095168C" w:rsidRPr="00165FD2" w:rsidTr="00C53552">
        <w:trPr>
          <w:trHeight w:val="301"/>
        </w:trPr>
        <w:tc>
          <w:tcPr>
            <w:tcW w:w="2111" w:type="dxa"/>
            <w:tcBorders>
              <w:bottom w:val="single" w:sz="12" w:space="0" w:color="auto"/>
            </w:tcBorders>
          </w:tcPr>
          <w:p w:rsidR="0095168C" w:rsidRPr="00FB36FA" w:rsidRDefault="0095168C" w:rsidP="0095168C">
            <w:pPr>
              <w:rPr>
                <w:rFonts w:ascii="Arial" w:hAnsi="Arial" w:cs="Arial"/>
                <w:color w:val="000000" w:themeColor="text1"/>
                <w:sz w:val="18"/>
                <w:szCs w:val="18"/>
                <w:rtl/>
              </w:rPr>
            </w:pPr>
            <w:r w:rsidRPr="00FB36FA">
              <w:rPr>
                <w:rFonts w:ascii="Arial" w:hAnsi="Arial" w:cs="Arial"/>
                <w:color w:val="000000" w:themeColor="text1"/>
                <w:sz w:val="18"/>
                <w:szCs w:val="18"/>
                <w:rtl/>
              </w:rPr>
              <w:t>الإنتاجية</w:t>
            </w:r>
            <w:r w:rsidRPr="00FB36FA">
              <w:rPr>
                <w:rStyle w:val="FootnoteReference"/>
                <w:rFonts w:ascii="Arial" w:hAnsi="Arial" w:cs="Arial"/>
                <w:sz w:val="18"/>
                <w:szCs w:val="18"/>
                <w:rtl/>
              </w:rPr>
              <w:footnoteReference w:customMarkFollows="1" w:id="2"/>
              <w:t>1</w:t>
            </w:r>
            <w:r w:rsidRPr="00FB36FA">
              <w:rPr>
                <w:rFonts w:ascii="Arial" w:hAnsi="Arial" w:cs="Arial"/>
                <w:color w:val="000000" w:themeColor="text1"/>
                <w:sz w:val="18"/>
                <w:szCs w:val="18"/>
                <w:rtl/>
              </w:rPr>
              <w:t xml:space="preserve"> (بالدولار/ عامل)</w:t>
            </w:r>
          </w:p>
        </w:tc>
        <w:tc>
          <w:tcPr>
            <w:tcW w:w="919"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8,293.1</w:t>
            </w:r>
          </w:p>
        </w:tc>
        <w:tc>
          <w:tcPr>
            <w:tcW w:w="924"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8,332.3</w:t>
            </w:r>
          </w:p>
        </w:tc>
        <w:tc>
          <w:tcPr>
            <w:tcW w:w="924"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7,437.3</w:t>
            </w:r>
          </w:p>
        </w:tc>
        <w:tc>
          <w:tcPr>
            <w:tcW w:w="924"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7,239.9</w:t>
            </w:r>
          </w:p>
        </w:tc>
        <w:tc>
          <w:tcPr>
            <w:tcW w:w="924"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8,560.8</w:t>
            </w:r>
          </w:p>
        </w:tc>
        <w:tc>
          <w:tcPr>
            <w:tcW w:w="924"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8,519.2</w:t>
            </w:r>
          </w:p>
        </w:tc>
        <w:tc>
          <w:tcPr>
            <w:tcW w:w="924" w:type="dxa"/>
            <w:tcBorders>
              <w:bottom w:val="single" w:sz="12" w:space="0" w:color="auto"/>
            </w:tcBorders>
            <w:vAlign w:val="center"/>
          </w:tcPr>
          <w:p w:rsidR="0095168C" w:rsidRPr="00FB36FA" w:rsidRDefault="0095168C" w:rsidP="0095168C">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8,925.4</w:t>
            </w:r>
          </w:p>
        </w:tc>
        <w:tc>
          <w:tcPr>
            <w:tcW w:w="829" w:type="dxa"/>
            <w:tcBorders>
              <w:bottom w:val="single" w:sz="12" w:space="0" w:color="auto"/>
            </w:tcBorders>
            <w:vAlign w:val="center"/>
          </w:tcPr>
          <w:p w:rsidR="0095168C" w:rsidRPr="00FB36FA" w:rsidRDefault="0095168C" w:rsidP="000F2C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w:t>
            </w:r>
            <w:r w:rsidR="000F2C19" w:rsidRPr="00FB36FA">
              <w:rPr>
                <w:rFonts w:ascii="Arial" w:hAnsi="Arial" w:cs="Arial"/>
                <w:color w:val="000000" w:themeColor="text1"/>
                <w:sz w:val="18"/>
                <w:szCs w:val="18"/>
              </w:rPr>
              <w:t>578</w:t>
            </w:r>
            <w:r w:rsidRPr="00FB36FA">
              <w:rPr>
                <w:rFonts w:ascii="Arial" w:hAnsi="Arial" w:cs="Arial"/>
                <w:color w:val="000000" w:themeColor="text1"/>
                <w:sz w:val="18"/>
                <w:szCs w:val="18"/>
              </w:rPr>
              <w:t>.</w:t>
            </w:r>
            <w:r w:rsidR="000F2C19" w:rsidRPr="00FB36FA">
              <w:rPr>
                <w:rFonts w:ascii="Arial" w:hAnsi="Arial" w:cs="Arial"/>
                <w:color w:val="000000" w:themeColor="text1"/>
                <w:sz w:val="18"/>
                <w:szCs w:val="18"/>
              </w:rPr>
              <w:t>6</w:t>
            </w:r>
          </w:p>
        </w:tc>
      </w:tr>
    </w:tbl>
    <w:p w:rsidR="00F63205" w:rsidRPr="00B77000" w:rsidRDefault="00D560B0" w:rsidP="00B77000">
      <w:pPr>
        <w:ind w:left="-154"/>
        <w:jc w:val="lowKashida"/>
        <w:rPr>
          <w:rFonts w:cs="Simplified Arabic"/>
          <w:color w:val="000000" w:themeColor="text1"/>
          <w:sz w:val="18"/>
          <w:szCs w:val="18"/>
          <w:rtl/>
        </w:rPr>
      </w:pPr>
      <w:r w:rsidRPr="00165FD2">
        <w:rPr>
          <w:rFonts w:cs="Simplified Arabic" w:hint="cs"/>
          <w:color w:val="000000" w:themeColor="text1"/>
          <w:sz w:val="18"/>
          <w:szCs w:val="18"/>
          <w:rtl/>
        </w:rPr>
        <w:t xml:space="preserve">  </w:t>
      </w:r>
      <w:r w:rsidR="00B45AC2" w:rsidRPr="00165FD2">
        <w:rPr>
          <w:rFonts w:cs="Simplified Arabic" w:hint="cs"/>
          <w:color w:val="000000" w:themeColor="text1"/>
          <w:sz w:val="18"/>
          <w:szCs w:val="18"/>
          <w:rtl/>
        </w:rPr>
        <w:t xml:space="preserve">* تم ربط معدل الأجر اليومي الاسمي بالرقم القياسي لأسعار المستهلك لملاحظة القوة الشرائية للعامل بالأسعار الثابتة. </w:t>
      </w:r>
    </w:p>
    <w:p w:rsidR="00F63205" w:rsidRPr="00FE7858" w:rsidRDefault="0089115D" w:rsidP="00183262">
      <w:pPr>
        <w:spacing w:before="240" w:after="200"/>
        <w:jc w:val="lowKashida"/>
        <w:rPr>
          <w:rFonts w:cs="Simplified Arabic"/>
          <w:b/>
          <w:bCs/>
          <w:color w:val="000000" w:themeColor="text1"/>
          <w:rtl/>
        </w:rPr>
      </w:pPr>
      <w:r w:rsidRPr="00FE7858">
        <w:rPr>
          <w:rFonts w:cs="Simplified Arabic" w:hint="cs"/>
          <w:b/>
          <w:bCs/>
          <w:color w:val="000000" w:themeColor="text1"/>
          <w:rtl/>
        </w:rPr>
        <w:t>ارتفعت نسبة المشاركة في القوى العاملة عام 2011 إلى 43.0% مقارنة مع 41.1% خلال عام 2010</w:t>
      </w:r>
      <w:r w:rsidR="00ED138E">
        <w:rPr>
          <w:rFonts w:cs="Simplified Arabic" w:hint="cs"/>
          <w:b/>
          <w:bCs/>
          <w:color w:val="000000" w:themeColor="text1"/>
          <w:rtl/>
        </w:rPr>
        <w:t xml:space="preserve">، ما رفع حجم القوى العاملة </w:t>
      </w:r>
      <w:r w:rsidR="00ED138E" w:rsidRPr="00FE7858">
        <w:rPr>
          <w:rFonts w:cs="Simplified Arabic" w:hint="cs"/>
          <w:b/>
          <w:bCs/>
          <w:color w:val="000000" w:themeColor="text1"/>
          <w:rtl/>
        </w:rPr>
        <w:t xml:space="preserve">في عام 2011 </w:t>
      </w:r>
      <w:r w:rsidR="005069DB">
        <w:rPr>
          <w:rFonts w:cs="Simplified Arabic" w:hint="cs"/>
          <w:b/>
          <w:bCs/>
          <w:color w:val="000000" w:themeColor="text1"/>
          <w:rtl/>
        </w:rPr>
        <w:t>إلى</w:t>
      </w:r>
      <w:r w:rsidR="00ED138E" w:rsidRPr="00FE7858">
        <w:rPr>
          <w:rFonts w:cs="Simplified Arabic"/>
          <w:b/>
          <w:bCs/>
          <w:color w:val="000000" w:themeColor="text1"/>
        </w:rPr>
        <w:t xml:space="preserve">1,059 </w:t>
      </w:r>
      <w:r w:rsidR="00ED138E" w:rsidRPr="00FE7858">
        <w:rPr>
          <w:rFonts w:cs="Simplified Arabic" w:hint="cs"/>
          <w:b/>
          <w:bCs/>
          <w:color w:val="000000" w:themeColor="text1"/>
          <w:rtl/>
        </w:rPr>
        <w:t xml:space="preserve"> ألف </w:t>
      </w:r>
      <w:r w:rsidR="00ED138E">
        <w:rPr>
          <w:rFonts w:cs="Simplified Arabic" w:hint="cs"/>
          <w:b/>
          <w:bCs/>
          <w:color w:val="000000" w:themeColor="text1"/>
          <w:rtl/>
          <w:lang w:bidi="ar-JO"/>
        </w:rPr>
        <w:t xml:space="preserve">فرد </w:t>
      </w:r>
      <w:r w:rsidR="00ED138E" w:rsidRPr="00FE7858">
        <w:rPr>
          <w:rFonts w:cs="Simplified Arabic" w:hint="cs"/>
          <w:b/>
          <w:bCs/>
          <w:color w:val="000000" w:themeColor="text1"/>
          <w:rtl/>
        </w:rPr>
        <w:t>مقابل 976 ألف فرد</w:t>
      </w:r>
      <w:r w:rsidR="00ED138E" w:rsidRPr="00ED138E">
        <w:rPr>
          <w:rFonts w:cs="Simplified Arabic" w:hint="cs"/>
          <w:b/>
          <w:bCs/>
          <w:color w:val="000000" w:themeColor="text1"/>
          <w:rtl/>
        </w:rPr>
        <w:t xml:space="preserve"> </w:t>
      </w:r>
      <w:r w:rsidR="00ED138E" w:rsidRPr="00FE7858">
        <w:rPr>
          <w:rFonts w:cs="Simplified Arabic" w:hint="cs"/>
          <w:b/>
          <w:bCs/>
          <w:color w:val="000000" w:themeColor="text1"/>
          <w:rtl/>
        </w:rPr>
        <w:t>خلال العام 2010</w:t>
      </w:r>
      <w:r w:rsidRPr="00FE7858">
        <w:rPr>
          <w:rFonts w:cs="Simplified Arabic" w:hint="cs"/>
          <w:b/>
          <w:bCs/>
          <w:color w:val="000000" w:themeColor="text1"/>
          <w:rtl/>
        </w:rPr>
        <w:t>. وتعزى هذه الزيادة في نسبة المشاركة إلى الارتفاع الملحوظ في حجم القوى العاملة التي دخلت سوق العمل</w:t>
      </w:r>
      <w:r w:rsidR="00183262">
        <w:rPr>
          <w:rFonts w:cs="Simplified Arabic" w:hint="cs"/>
          <w:color w:val="000000" w:themeColor="text1"/>
          <w:rtl/>
        </w:rPr>
        <w:t xml:space="preserve">. </w:t>
      </w:r>
      <w:r w:rsidRPr="00FE7858">
        <w:rPr>
          <w:rFonts w:cs="Simplified Arabic" w:hint="cs"/>
          <w:color w:val="000000" w:themeColor="text1"/>
          <w:rtl/>
        </w:rPr>
        <w:t xml:space="preserve">وكما </w:t>
      </w:r>
      <w:r w:rsidR="004539B5" w:rsidRPr="00FE7858">
        <w:rPr>
          <w:rFonts w:cs="Simplified Arabic" w:hint="cs"/>
          <w:color w:val="000000" w:themeColor="text1"/>
          <w:rtl/>
        </w:rPr>
        <w:t>يتضح من</w:t>
      </w:r>
      <w:r w:rsidRPr="00FE7858">
        <w:rPr>
          <w:rFonts w:cs="Simplified Arabic" w:hint="cs"/>
          <w:color w:val="000000" w:themeColor="text1"/>
          <w:rtl/>
        </w:rPr>
        <w:t xml:space="preserve"> جدول 3، فقد زاد حجم </w:t>
      </w:r>
      <w:r w:rsidR="004539B5" w:rsidRPr="00FE7858">
        <w:rPr>
          <w:rFonts w:cs="Simplified Arabic" w:hint="cs"/>
          <w:color w:val="000000" w:themeColor="text1"/>
          <w:rtl/>
        </w:rPr>
        <w:t>القوى العاملة</w:t>
      </w:r>
      <w:r w:rsidRPr="00FE7858">
        <w:rPr>
          <w:rFonts w:cs="Simplified Arabic" w:hint="cs"/>
          <w:color w:val="000000" w:themeColor="text1"/>
          <w:rtl/>
        </w:rPr>
        <w:t xml:space="preserve"> </w:t>
      </w:r>
      <w:r w:rsidR="004539B5" w:rsidRPr="00FE7858">
        <w:rPr>
          <w:rFonts w:cs="Simplified Arabic" w:hint="cs"/>
          <w:color w:val="000000" w:themeColor="text1"/>
          <w:rtl/>
        </w:rPr>
        <w:t xml:space="preserve">بنسبة 8.5% </w:t>
      </w:r>
      <w:r w:rsidRPr="00FE7858">
        <w:rPr>
          <w:rFonts w:cs="Simplified Arabic" w:hint="cs"/>
          <w:color w:val="000000" w:themeColor="text1"/>
          <w:rtl/>
        </w:rPr>
        <w:t>خلال العام 2011 مقارنة مع</w:t>
      </w:r>
      <w:r w:rsidR="005069DB">
        <w:rPr>
          <w:rFonts w:cs="Simplified Arabic" w:hint="cs"/>
          <w:color w:val="000000" w:themeColor="text1"/>
          <w:rtl/>
        </w:rPr>
        <w:t xml:space="preserve"> معدل</w:t>
      </w:r>
      <w:r w:rsidRPr="00FE7858">
        <w:rPr>
          <w:rFonts w:cs="Simplified Arabic" w:hint="cs"/>
          <w:color w:val="000000" w:themeColor="text1"/>
          <w:rtl/>
        </w:rPr>
        <w:t xml:space="preserve"> </w:t>
      </w:r>
      <w:r w:rsidR="004539B5" w:rsidRPr="00FE7858">
        <w:rPr>
          <w:rFonts w:cs="Simplified Arabic" w:hint="cs"/>
          <w:color w:val="000000" w:themeColor="text1"/>
          <w:rtl/>
        </w:rPr>
        <w:t>4.4</w:t>
      </w:r>
      <w:r w:rsidRPr="00FE7858">
        <w:rPr>
          <w:rFonts w:cs="Simplified Arabic" w:hint="cs"/>
          <w:color w:val="000000" w:themeColor="text1"/>
          <w:rtl/>
        </w:rPr>
        <w:t>% للفترة 2004-</w:t>
      </w:r>
      <w:r w:rsidR="004539B5" w:rsidRPr="00FE7858">
        <w:rPr>
          <w:rFonts w:cs="Simplified Arabic" w:hint="cs"/>
          <w:color w:val="000000" w:themeColor="text1"/>
          <w:rtl/>
        </w:rPr>
        <w:t>2010</w:t>
      </w:r>
      <w:r w:rsidRPr="00FE7858">
        <w:rPr>
          <w:rFonts w:cs="Simplified Arabic" w:hint="cs"/>
          <w:color w:val="000000" w:themeColor="text1"/>
          <w:rtl/>
        </w:rPr>
        <w:t>، م</w:t>
      </w:r>
      <w:r w:rsidR="00B11761">
        <w:rPr>
          <w:rFonts w:cs="Simplified Arabic" w:hint="cs"/>
          <w:color w:val="000000" w:themeColor="text1"/>
          <w:rtl/>
        </w:rPr>
        <w:t>م</w:t>
      </w:r>
      <w:r w:rsidRPr="00FE7858">
        <w:rPr>
          <w:rFonts w:cs="Simplified Arabic" w:hint="cs"/>
          <w:color w:val="000000" w:themeColor="text1"/>
          <w:rtl/>
        </w:rPr>
        <w:t>ا أدى إلى ارتفاع نسبة المشاركة مقارنة مع السنوات الثماني الماضية</w:t>
      </w:r>
      <w:r w:rsidR="004539B5" w:rsidRPr="00FE7858">
        <w:rPr>
          <w:rFonts w:cs="Simplified Arabic" w:hint="cs"/>
          <w:color w:val="000000" w:themeColor="text1"/>
          <w:rtl/>
        </w:rPr>
        <w:t xml:space="preserve">، والتي تراوحت نسبة المشاركة فيها </w:t>
      </w:r>
      <w:r w:rsidR="00B45AC2" w:rsidRPr="00FE7858">
        <w:rPr>
          <w:rFonts w:cs="Simplified Arabic" w:hint="cs"/>
          <w:color w:val="000000" w:themeColor="text1"/>
          <w:rtl/>
        </w:rPr>
        <w:t>40.1</w:t>
      </w:r>
      <w:r w:rsidR="004539B5" w:rsidRPr="00FE7858">
        <w:rPr>
          <w:rFonts w:cs="Simplified Arabic" w:hint="cs"/>
          <w:color w:val="000000" w:themeColor="text1"/>
          <w:rtl/>
        </w:rPr>
        <w:t>%</w:t>
      </w:r>
      <w:r w:rsidR="00B45AC2" w:rsidRPr="00FE7858">
        <w:rPr>
          <w:rFonts w:cs="Simplified Arabic" w:hint="cs"/>
          <w:color w:val="000000" w:themeColor="text1"/>
          <w:rtl/>
        </w:rPr>
        <w:t>-</w:t>
      </w:r>
      <w:r w:rsidR="00AC23D6" w:rsidRPr="00FE7858">
        <w:rPr>
          <w:rFonts w:cs="Simplified Arabic" w:hint="cs"/>
          <w:color w:val="000000" w:themeColor="text1"/>
          <w:rtl/>
        </w:rPr>
        <w:t>43.0</w:t>
      </w:r>
      <w:r w:rsidR="00B45AC2" w:rsidRPr="00FE7858">
        <w:rPr>
          <w:rFonts w:cs="Simplified Arabic" w:hint="cs"/>
          <w:color w:val="000000" w:themeColor="text1"/>
          <w:rtl/>
        </w:rPr>
        <w:t>%</w:t>
      </w:r>
      <w:r w:rsidR="004539B5" w:rsidRPr="00FE7858">
        <w:rPr>
          <w:rFonts w:cs="Simplified Arabic" w:hint="cs"/>
          <w:color w:val="000000" w:themeColor="text1"/>
          <w:rtl/>
        </w:rPr>
        <w:t xml:space="preserve">. وبالرغم من هذه الزيادة في نسبة المشاركة، إلا أنها تظل منخفضة مقارنة مع الدول المجاورة. كما أن هذه النسبة تتفاوت بين الضفة الغربية وقطاع غزة، فقد بلغت نسبة المشاركة في القوى العاملة في الضفة الغربية </w:t>
      </w:r>
      <w:r w:rsidR="00E67057">
        <w:rPr>
          <w:rFonts w:cs="Simplified Arabic" w:hint="cs"/>
          <w:color w:val="000000" w:themeColor="text1"/>
          <w:rtl/>
        </w:rPr>
        <w:t>45.5</w:t>
      </w:r>
      <w:r w:rsidR="004539B5" w:rsidRPr="00FE7858">
        <w:rPr>
          <w:rFonts w:cs="Simplified Arabic" w:hint="cs"/>
          <w:color w:val="000000" w:themeColor="text1"/>
          <w:rtl/>
        </w:rPr>
        <w:t xml:space="preserve">% عام 2011 مقابل </w:t>
      </w:r>
      <w:r w:rsidR="00E67057">
        <w:rPr>
          <w:rFonts w:cs="Simplified Arabic" w:hint="cs"/>
          <w:color w:val="000000" w:themeColor="text1"/>
          <w:rtl/>
        </w:rPr>
        <w:t>38.4%</w:t>
      </w:r>
      <w:r w:rsidR="004539B5" w:rsidRPr="00FE7858">
        <w:rPr>
          <w:rFonts w:cs="Simplified Arabic" w:hint="cs"/>
          <w:color w:val="000000" w:themeColor="text1"/>
          <w:rtl/>
        </w:rPr>
        <w:t xml:space="preserve"> في قطاع غزة.</w:t>
      </w:r>
      <w:r w:rsidR="00B45AC2" w:rsidRPr="00FE7858">
        <w:rPr>
          <w:rFonts w:cs="Simplified Arabic" w:hint="cs"/>
          <w:b/>
          <w:bCs/>
          <w:color w:val="000000" w:themeColor="text1"/>
          <w:rtl/>
        </w:rPr>
        <w:t xml:space="preserve"> </w:t>
      </w:r>
    </w:p>
    <w:p w:rsidR="00F63205" w:rsidRPr="00165FD2" w:rsidRDefault="004539B5" w:rsidP="0058577E">
      <w:pPr>
        <w:spacing w:before="240" w:after="200"/>
        <w:jc w:val="lowKashida"/>
        <w:rPr>
          <w:rFonts w:cs="Simplified Arabic"/>
          <w:color w:val="000000" w:themeColor="text1"/>
          <w:rtl/>
        </w:rPr>
      </w:pPr>
      <w:r w:rsidRPr="00CC607B">
        <w:rPr>
          <w:rFonts w:cs="Simplified Arabic" w:hint="cs"/>
          <w:b/>
          <w:bCs/>
          <w:color w:val="000000" w:themeColor="text1"/>
          <w:rtl/>
        </w:rPr>
        <w:t xml:space="preserve">كما </w:t>
      </w:r>
      <w:r w:rsidR="00B45AC2" w:rsidRPr="00CC607B">
        <w:rPr>
          <w:rFonts w:cs="Simplified Arabic" w:hint="cs"/>
          <w:b/>
          <w:bCs/>
          <w:color w:val="000000" w:themeColor="text1"/>
          <w:rtl/>
        </w:rPr>
        <w:t xml:space="preserve">شهد عام </w:t>
      </w:r>
      <w:r w:rsidR="00D56BB2" w:rsidRPr="00CC607B">
        <w:rPr>
          <w:rFonts w:cs="Simplified Arabic" w:hint="cs"/>
          <w:b/>
          <w:bCs/>
          <w:color w:val="000000" w:themeColor="text1"/>
          <w:rtl/>
        </w:rPr>
        <w:t>2011</w:t>
      </w:r>
      <w:r w:rsidR="00B45AC2" w:rsidRPr="00CC607B">
        <w:rPr>
          <w:rFonts w:cs="Simplified Arabic" w:hint="cs"/>
          <w:b/>
          <w:bCs/>
          <w:color w:val="000000" w:themeColor="text1"/>
          <w:rtl/>
        </w:rPr>
        <w:t xml:space="preserve"> ارتفاعاً في عدد العاملين بنسبة </w:t>
      </w:r>
      <w:r w:rsidR="00CA37F5" w:rsidRPr="00CC607B">
        <w:rPr>
          <w:rFonts w:cs="Simplified Arabic"/>
          <w:b/>
          <w:bCs/>
          <w:color w:val="000000" w:themeColor="text1"/>
        </w:rPr>
        <w:t>12.6</w:t>
      </w:r>
      <w:r w:rsidR="00B45AC2" w:rsidRPr="00CC607B">
        <w:rPr>
          <w:rFonts w:cs="Simplified Arabic" w:hint="cs"/>
          <w:b/>
          <w:bCs/>
          <w:color w:val="000000" w:themeColor="text1"/>
          <w:rtl/>
        </w:rPr>
        <w:t xml:space="preserve">% مقارنة مع عام </w:t>
      </w:r>
      <w:r w:rsidR="00D56BB2" w:rsidRPr="00CC607B">
        <w:rPr>
          <w:rFonts w:cs="Simplified Arabic" w:hint="cs"/>
          <w:b/>
          <w:bCs/>
          <w:color w:val="000000" w:themeColor="text1"/>
          <w:rtl/>
        </w:rPr>
        <w:t>2010</w:t>
      </w:r>
      <w:r w:rsidR="00B45AC2" w:rsidRPr="00CC607B">
        <w:rPr>
          <w:rFonts w:cs="Simplified Arabic" w:hint="cs"/>
          <w:b/>
          <w:bCs/>
          <w:color w:val="000000" w:themeColor="text1"/>
          <w:rtl/>
        </w:rPr>
        <w:t xml:space="preserve">، </w:t>
      </w:r>
      <w:r w:rsidR="00CC607B" w:rsidRPr="00CC607B">
        <w:rPr>
          <w:rFonts w:cs="Simplified Arabic" w:hint="cs"/>
          <w:b/>
          <w:bCs/>
          <w:color w:val="000000" w:themeColor="text1"/>
          <w:rtl/>
        </w:rPr>
        <w:t>حيث وصل عدد العاملين في الأراضي الفلسطينية 837 ألف عامل خلال العام 2011 مقابل 744 ألف عام 2010</w:t>
      </w:r>
      <w:r w:rsidR="00CC607B">
        <w:rPr>
          <w:rFonts w:cs="Simplified Arabic" w:hint="cs"/>
          <w:color w:val="000000" w:themeColor="text1"/>
          <w:rtl/>
        </w:rPr>
        <w:t xml:space="preserve">. </w:t>
      </w:r>
      <w:r w:rsidR="002316DA">
        <w:rPr>
          <w:rFonts w:cs="Simplified Arabic" w:hint="cs"/>
          <w:color w:val="000000" w:themeColor="text1"/>
          <w:rtl/>
        </w:rPr>
        <w:t>ويأتي هذا الارتفاع في أعداد العاملين خلال السنوات الثلاث الأخيرة بعد الانخفاض الذي شهدته الأراضي الفلسطينية عام 20</w:t>
      </w:r>
      <w:r w:rsidR="0058577E">
        <w:rPr>
          <w:rFonts w:cs="Simplified Arabic" w:hint="cs"/>
          <w:color w:val="000000" w:themeColor="text1"/>
          <w:rtl/>
        </w:rPr>
        <w:t>0</w:t>
      </w:r>
      <w:r w:rsidR="002316DA">
        <w:rPr>
          <w:rFonts w:cs="Simplified Arabic" w:hint="cs"/>
          <w:color w:val="000000" w:themeColor="text1"/>
          <w:rtl/>
        </w:rPr>
        <w:t xml:space="preserve">8. </w:t>
      </w:r>
      <w:r w:rsidR="00CC607B">
        <w:rPr>
          <w:rFonts w:cs="Simplified Arabic" w:hint="cs"/>
          <w:color w:val="000000" w:themeColor="text1"/>
          <w:rtl/>
        </w:rPr>
        <w:t xml:space="preserve">ويعزى الارتفاع الملحوظ </w:t>
      </w:r>
      <w:r w:rsidR="002316DA">
        <w:rPr>
          <w:rFonts w:cs="Simplified Arabic" w:hint="cs"/>
          <w:color w:val="000000" w:themeColor="text1"/>
          <w:rtl/>
        </w:rPr>
        <w:t xml:space="preserve">خلال العام 2011 </w:t>
      </w:r>
      <w:r w:rsidR="00CC607B">
        <w:rPr>
          <w:rFonts w:cs="Simplified Arabic" w:hint="cs"/>
          <w:color w:val="000000" w:themeColor="text1"/>
          <w:rtl/>
        </w:rPr>
        <w:t xml:space="preserve">إلى زيادة أعداد العاملين في قطاع غزة </w:t>
      </w:r>
      <w:r w:rsidR="0058577E">
        <w:rPr>
          <w:rFonts w:cs="Simplified Arabic" w:hint="cs"/>
          <w:color w:val="000000" w:themeColor="text1"/>
          <w:rtl/>
        </w:rPr>
        <w:t>بنسبة 25.9%</w:t>
      </w:r>
      <w:r w:rsidR="00CC607B">
        <w:rPr>
          <w:rFonts w:cs="Simplified Arabic" w:hint="cs"/>
          <w:color w:val="000000" w:themeColor="text1"/>
          <w:rtl/>
        </w:rPr>
        <w:t xml:space="preserve">  </w:t>
      </w:r>
      <w:r w:rsidR="0058577E">
        <w:rPr>
          <w:rFonts w:cs="Simplified Arabic" w:hint="cs"/>
          <w:color w:val="000000" w:themeColor="text1"/>
          <w:rtl/>
        </w:rPr>
        <w:t>ليصل إلى 243 ألف عامل.</w:t>
      </w:r>
    </w:p>
    <w:p w:rsidR="00F63205" w:rsidRPr="00165FD2" w:rsidRDefault="002316DA" w:rsidP="002A6B04">
      <w:pPr>
        <w:spacing w:before="240" w:after="200"/>
        <w:jc w:val="lowKashida"/>
        <w:rPr>
          <w:rFonts w:cs="Simplified Arabic"/>
          <w:color w:val="000000" w:themeColor="text1"/>
          <w:rtl/>
        </w:rPr>
      </w:pPr>
      <w:r>
        <w:rPr>
          <w:rFonts w:hint="cs"/>
          <w:b/>
          <w:bCs/>
          <w:rtl/>
        </w:rPr>
        <w:t xml:space="preserve">ونتيجة لذلك، انخفض معدل البطالة في </w:t>
      </w:r>
      <w:r w:rsidRPr="00FE7858">
        <w:rPr>
          <w:rFonts w:cs="Simplified Arabic" w:hint="cs"/>
          <w:b/>
          <w:bCs/>
          <w:color w:val="000000" w:themeColor="text1"/>
          <w:rtl/>
        </w:rPr>
        <w:t>الأراضي الفلسطينية</w:t>
      </w:r>
      <w:r w:rsidRPr="00165FD2">
        <w:rPr>
          <w:rFonts w:cs="Simplified Arabic" w:hint="cs"/>
          <w:color w:val="000000" w:themeColor="text1"/>
          <w:rtl/>
        </w:rPr>
        <w:t xml:space="preserve"> </w:t>
      </w:r>
      <w:r w:rsidRPr="00FE7858">
        <w:rPr>
          <w:rFonts w:cs="Simplified Arabic" w:hint="cs"/>
          <w:b/>
          <w:bCs/>
          <w:color w:val="000000" w:themeColor="text1"/>
          <w:rtl/>
        </w:rPr>
        <w:t xml:space="preserve">إلى 20.9% </w:t>
      </w:r>
      <w:r>
        <w:rPr>
          <w:rFonts w:cs="Simplified Arabic" w:hint="cs"/>
          <w:b/>
          <w:bCs/>
          <w:color w:val="000000" w:themeColor="text1"/>
          <w:rtl/>
        </w:rPr>
        <w:t>في العام 2011 مقارنة مع</w:t>
      </w:r>
      <w:r w:rsidRPr="00FE7858">
        <w:rPr>
          <w:rFonts w:cs="Simplified Arabic" w:hint="cs"/>
          <w:b/>
          <w:bCs/>
          <w:color w:val="000000" w:themeColor="text1"/>
          <w:rtl/>
        </w:rPr>
        <w:t xml:space="preserve"> 23.7% في </w:t>
      </w:r>
      <w:r>
        <w:rPr>
          <w:rFonts w:cs="Simplified Arabic" w:hint="cs"/>
          <w:b/>
          <w:bCs/>
          <w:color w:val="000000" w:themeColor="text1"/>
          <w:rtl/>
        </w:rPr>
        <w:t>ال</w:t>
      </w:r>
      <w:r w:rsidRPr="00FE7858">
        <w:rPr>
          <w:rFonts w:cs="Simplified Arabic" w:hint="cs"/>
          <w:b/>
          <w:bCs/>
          <w:color w:val="000000" w:themeColor="text1"/>
          <w:rtl/>
        </w:rPr>
        <w:t>عام 2010</w:t>
      </w:r>
      <w:r w:rsidR="004A2C25" w:rsidRPr="004A2C25">
        <w:rPr>
          <w:rFonts w:cs="Simplified Arabic" w:hint="cs"/>
          <w:b/>
          <w:bCs/>
          <w:color w:val="000000" w:themeColor="text1"/>
          <w:rtl/>
        </w:rPr>
        <w:t>،</w:t>
      </w:r>
      <w:r w:rsidRPr="004A2C25">
        <w:rPr>
          <w:rFonts w:cs="Simplified Arabic" w:hint="cs"/>
          <w:b/>
          <w:bCs/>
          <w:color w:val="000000" w:themeColor="text1"/>
          <w:rtl/>
        </w:rPr>
        <w:t xml:space="preserve"> وتعتبر هذه النسبة </w:t>
      </w:r>
      <w:r w:rsidR="00EC7E3E" w:rsidRPr="004A2C25">
        <w:rPr>
          <w:rFonts w:cs="Simplified Arabic" w:hint="cs"/>
          <w:b/>
          <w:bCs/>
          <w:color w:val="000000" w:themeColor="text1"/>
          <w:rtl/>
        </w:rPr>
        <w:t xml:space="preserve">هي </w:t>
      </w:r>
      <w:r w:rsidRPr="004A2C25">
        <w:rPr>
          <w:rFonts w:cs="Simplified Arabic" w:hint="cs"/>
          <w:b/>
          <w:bCs/>
          <w:color w:val="000000" w:themeColor="text1"/>
          <w:rtl/>
        </w:rPr>
        <w:t>الأقل منذ اندلاع انتفاضة الأقصى في أواخر العام 2000</w:t>
      </w:r>
      <w:r w:rsidR="004A2C25" w:rsidRPr="004A2C25">
        <w:rPr>
          <w:rFonts w:cs="Simplified Arabic" w:hint="cs"/>
          <w:b/>
          <w:bCs/>
          <w:color w:val="000000" w:themeColor="text1"/>
          <w:rtl/>
        </w:rPr>
        <w:t>.</w:t>
      </w:r>
      <w:r w:rsidR="004A2C25">
        <w:rPr>
          <w:rFonts w:cs="Simplified Arabic" w:hint="cs"/>
          <w:color w:val="000000" w:themeColor="text1"/>
          <w:rtl/>
        </w:rPr>
        <w:t xml:space="preserve"> وي</w:t>
      </w:r>
      <w:r>
        <w:rPr>
          <w:rFonts w:cs="Simplified Arabic" w:hint="cs"/>
          <w:color w:val="000000" w:themeColor="text1"/>
          <w:rtl/>
        </w:rPr>
        <w:t>عزى</w:t>
      </w:r>
      <w:r w:rsidR="004A2C25">
        <w:rPr>
          <w:rFonts w:cs="Simplified Arabic" w:hint="cs"/>
          <w:color w:val="000000" w:themeColor="text1"/>
          <w:rtl/>
        </w:rPr>
        <w:t xml:space="preserve"> الانخفاض في معدل البطالة في الأراضي الفلسطينية</w:t>
      </w:r>
      <w:r>
        <w:rPr>
          <w:rFonts w:cs="Simplified Arabic" w:hint="cs"/>
          <w:color w:val="000000" w:themeColor="text1"/>
          <w:rtl/>
        </w:rPr>
        <w:t xml:space="preserve"> إلى </w:t>
      </w:r>
      <w:r w:rsidR="00EC7E3E">
        <w:rPr>
          <w:rFonts w:cs="Simplified Arabic" w:hint="cs"/>
          <w:color w:val="000000" w:themeColor="text1"/>
          <w:rtl/>
        </w:rPr>
        <w:t xml:space="preserve">انخفاض معدل البطالة في قطاع غزة الذي </w:t>
      </w:r>
      <w:r w:rsidR="004A2C25">
        <w:rPr>
          <w:rFonts w:cs="Simplified Arabic" w:hint="cs"/>
          <w:color w:val="000000" w:themeColor="text1"/>
          <w:rtl/>
        </w:rPr>
        <w:t>وصل</w:t>
      </w:r>
      <w:r w:rsidR="004A2C25" w:rsidRPr="00165FD2">
        <w:rPr>
          <w:rFonts w:cs="Simplified Arabic" w:hint="cs"/>
          <w:color w:val="000000" w:themeColor="text1"/>
          <w:rtl/>
        </w:rPr>
        <w:t xml:space="preserve"> </w:t>
      </w:r>
      <w:r w:rsidR="004A2C25">
        <w:rPr>
          <w:rFonts w:cs="Simplified Arabic" w:hint="cs"/>
          <w:color w:val="000000" w:themeColor="text1"/>
          <w:rtl/>
        </w:rPr>
        <w:t xml:space="preserve">إلى </w:t>
      </w:r>
      <w:r w:rsidR="004A2C25" w:rsidRPr="00165FD2">
        <w:rPr>
          <w:rFonts w:cs="Simplified Arabic" w:hint="cs"/>
          <w:color w:val="000000" w:themeColor="text1"/>
          <w:rtl/>
        </w:rPr>
        <w:t>28.7</w:t>
      </w:r>
      <w:r w:rsidR="004A2C25">
        <w:rPr>
          <w:rFonts w:cs="Simplified Arabic" w:hint="cs"/>
          <w:color w:val="000000" w:themeColor="text1"/>
          <w:rtl/>
        </w:rPr>
        <w:t>%</w:t>
      </w:r>
      <w:r w:rsidR="00EC7E3E">
        <w:rPr>
          <w:rFonts w:cs="Simplified Arabic" w:hint="cs"/>
          <w:color w:val="000000" w:themeColor="text1"/>
          <w:rtl/>
        </w:rPr>
        <w:t xml:space="preserve"> عام 2011 مقارنة مع </w:t>
      </w:r>
      <w:r w:rsidR="002607EC">
        <w:rPr>
          <w:rFonts w:cs="Simplified Arabic" w:hint="cs"/>
          <w:color w:val="000000" w:themeColor="text1"/>
          <w:rtl/>
        </w:rPr>
        <w:t>37.8</w:t>
      </w:r>
      <w:r w:rsidR="005069DB">
        <w:rPr>
          <w:rFonts w:cs="Simplified Arabic" w:hint="cs"/>
          <w:color w:val="000000" w:themeColor="text1"/>
          <w:rtl/>
        </w:rPr>
        <w:t>%</w:t>
      </w:r>
      <w:r w:rsidR="00EC7E3E">
        <w:rPr>
          <w:rFonts w:cs="Simplified Arabic" w:hint="cs"/>
          <w:color w:val="000000" w:themeColor="text1"/>
          <w:rtl/>
        </w:rPr>
        <w:t xml:space="preserve"> عام 2010، </w:t>
      </w:r>
      <w:r w:rsidR="004A2C25">
        <w:rPr>
          <w:rFonts w:cs="Simplified Arabic" w:hint="cs"/>
          <w:color w:val="000000" w:themeColor="text1"/>
          <w:rtl/>
        </w:rPr>
        <w:t xml:space="preserve">في الوقت الذي </w:t>
      </w:r>
      <w:r w:rsidR="004A2C25" w:rsidRPr="00165FD2">
        <w:rPr>
          <w:rFonts w:cs="Simplified Arabic" w:hint="cs"/>
          <w:color w:val="000000" w:themeColor="text1"/>
          <w:rtl/>
        </w:rPr>
        <w:t>ارتفع معدل البطالة في الضفة الغربية ليصل إلى 17.3% بعد أن كان 17.2</w:t>
      </w:r>
      <w:r w:rsidR="004A2C25">
        <w:rPr>
          <w:rFonts w:cs="Simplified Arabic" w:hint="cs"/>
          <w:color w:val="000000" w:themeColor="text1"/>
          <w:rtl/>
        </w:rPr>
        <w:t xml:space="preserve">%. </w:t>
      </w:r>
      <w:r w:rsidR="004A2C25">
        <w:rPr>
          <w:rFonts w:cs="Simplified Arabic" w:hint="cs"/>
          <w:color w:val="000000" w:themeColor="text1"/>
          <w:rtl/>
        </w:rPr>
        <w:lastRenderedPageBreak/>
        <w:t xml:space="preserve">وكما </w:t>
      </w:r>
      <w:r w:rsidR="002A6B04">
        <w:rPr>
          <w:rFonts w:cs="Simplified Arabic" w:hint="cs"/>
          <w:color w:val="000000" w:themeColor="text1"/>
          <w:rtl/>
        </w:rPr>
        <w:t>ي</w:t>
      </w:r>
      <w:r w:rsidR="004A2C25">
        <w:rPr>
          <w:rFonts w:cs="Simplified Arabic" w:hint="cs"/>
          <w:color w:val="000000" w:themeColor="text1"/>
          <w:rtl/>
        </w:rPr>
        <w:t xml:space="preserve">لاحظ، فبالرغم من </w:t>
      </w:r>
      <w:r w:rsidR="00EC7E3E">
        <w:rPr>
          <w:rFonts w:cs="Simplified Arabic" w:hint="cs"/>
          <w:color w:val="000000" w:themeColor="text1"/>
          <w:rtl/>
        </w:rPr>
        <w:t>التحسن في مع</w:t>
      </w:r>
      <w:r w:rsidR="004A2C25">
        <w:rPr>
          <w:rFonts w:cs="Simplified Arabic" w:hint="cs"/>
          <w:color w:val="000000" w:themeColor="text1"/>
          <w:rtl/>
        </w:rPr>
        <w:t>دل البطالة في قطاع غزة، إلا أنه ي</w:t>
      </w:r>
      <w:r w:rsidR="00EC7E3E">
        <w:rPr>
          <w:rFonts w:cs="Simplified Arabic" w:hint="cs"/>
          <w:color w:val="000000" w:themeColor="text1"/>
          <w:rtl/>
        </w:rPr>
        <w:t>ظل أعلى بكثير من معدل البطالة في الضفة الغربية.</w:t>
      </w:r>
    </w:p>
    <w:p w:rsidR="00F63205" w:rsidRPr="00165FD2" w:rsidRDefault="00B45AC2" w:rsidP="00CF02CC">
      <w:pPr>
        <w:jc w:val="center"/>
        <w:rPr>
          <w:rFonts w:cs="Simplified Arabic"/>
          <w:b/>
          <w:bCs/>
          <w:color w:val="000000" w:themeColor="text1"/>
          <w:sz w:val="22"/>
          <w:szCs w:val="22"/>
          <w:rtl/>
        </w:rPr>
      </w:pPr>
      <w:r w:rsidRPr="00165FD2">
        <w:rPr>
          <w:rFonts w:cs="Simplified Arabic" w:hint="cs"/>
          <w:b/>
          <w:bCs/>
          <w:color w:val="000000" w:themeColor="text1"/>
          <w:sz w:val="22"/>
          <w:szCs w:val="22"/>
          <w:rtl/>
        </w:rPr>
        <w:t>شكل</w:t>
      </w:r>
      <w:r w:rsidR="00CF02CC">
        <w:rPr>
          <w:rFonts w:cs="Simplified Arabic" w:hint="cs"/>
          <w:b/>
          <w:bCs/>
          <w:color w:val="000000" w:themeColor="text1"/>
          <w:sz w:val="22"/>
          <w:szCs w:val="22"/>
          <w:rtl/>
        </w:rPr>
        <w:t xml:space="preserve"> 5</w:t>
      </w:r>
      <w:r w:rsidRPr="00165FD2">
        <w:rPr>
          <w:rFonts w:cs="Simplified Arabic" w:hint="cs"/>
          <w:b/>
          <w:bCs/>
          <w:color w:val="000000" w:themeColor="text1"/>
          <w:sz w:val="22"/>
          <w:szCs w:val="22"/>
          <w:rtl/>
        </w:rPr>
        <w:t>: معدل البطالة في الأراضي الفلسطينية</w:t>
      </w:r>
      <w:r w:rsidR="00F36C46">
        <w:rPr>
          <w:rFonts w:cs="Simplified Arabic" w:hint="cs"/>
          <w:b/>
          <w:bCs/>
          <w:color w:val="000000" w:themeColor="text1"/>
          <w:sz w:val="22"/>
          <w:szCs w:val="22"/>
          <w:rtl/>
        </w:rPr>
        <w:t>،</w:t>
      </w:r>
      <w:r w:rsidRPr="00165FD2">
        <w:rPr>
          <w:rFonts w:cs="Simplified Arabic" w:hint="cs"/>
          <w:b/>
          <w:bCs/>
          <w:color w:val="000000" w:themeColor="text1"/>
          <w:sz w:val="22"/>
          <w:szCs w:val="22"/>
          <w:rtl/>
        </w:rPr>
        <w:t xml:space="preserve"> (2004-</w:t>
      </w:r>
      <w:r w:rsidR="000B7297" w:rsidRPr="00165FD2">
        <w:rPr>
          <w:rFonts w:cs="Simplified Arabic" w:hint="cs"/>
          <w:b/>
          <w:bCs/>
          <w:color w:val="000000" w:themeColor="text1"/>
          <w:sz w:val="22"/>
          <w:szCs w:val="22"/>
          <w:rtl/>
        </w:rPr>
        <w:t>2011</w:t>
      </w:r>
      <w:r w:rsidRPr="00165FD2">
        <w:rPr>
          <w:rFonts w:cs="Simplified Arabic" w:hint="cs"/>
          <w:b/>
          <w:bCs/>
          <w:color w:val="000000" w:themeColor="text1"/>
          <w:sz w:val="22"/>
          <w:szCs w:val="22"/>
          <w:rtl/>
        </w:rPr>
        <w:t>)</w:t>
      </w:r>
    </w:p>
    <w:p w:rsidR="00F63205" w:rsidRPr="00B77000" w:rsidRDefault="00265E1A" w:rsidP="00B77000">
      <w:pPr>
        <w:spacing w:after="120"/>
        <w:jc w:val="center"/>
        <w:rPr>
          <w:rFonts w:cs="Simplified Arabic"/>
          <w:b/>
          <w:bCs/>
          <w:color w:val="000000" w:themeColor="text1"/>
        </w:rPr>
      </w:pPr>
      <w:r w:rsidRPr="00165FD2">
        <w:rPr>
          <w:noProof/>
          <w:color w:val="000000" w:themeColor="text1"/>
          <w:lang w:eastAsia="en-US"/>
        </w:rPr>
        <w:drawing>
          <wp:inline distT="0" distB="0" distL="0" distR="0">
            <wp:extent cx="5057775" cy="2714625"/>
            <wp:effectExtent l="19050" t="0" r="9525"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63205" w:rsidRPr="00165FD2" w:rsidRDefault="004A2C25" w:rsidP="005069DB">
      <w:pPr>
        <w:spacing w:before="240" w:after="200"/>
        <w:jc w:val="lowKashida"/>
        <w:rPr>
          <w:rFonts w:cs="Simplified Arabic"/>
          <w:color w:val="000000" w:themeColor="text1"/>
          <w:rtl/>
        </w:rPr>
      </w:pPr>
      <w:r w:rsidRPr="007465FC">
        <w:rPr>
          <w:rFonts w:cs="Simplified Arabic" w:hint="cs"/>
          <w:b/>
          <w:bCs/>
          <w:color w:val="000000" w:themeColor="text1"/>
          <w:rtl/>
        </w:rPr>
        <w:t xml:space="preserve">بالرغم من استقرار معدل الأجر اليومي الاسمي </w:t>
      </w:r>
      <w:r w:rsidR="007465FC">
        <w:rPr>
          <w:rFonts w:cs="Simplified Arabic" w:hint="cs"/>
          <w:b/>
          <w:bCs/>
          <w:color w:val="000000" w:themeColor="text1"/>
          <w:rtl/>
        </w:rPr>
        <w:t>الذي</w:t>
      </w:r>
      <w:r w:rsidRPr="007465FC">
        <w:rPr>
          <w:rFonts w:cs="Simplified Arabic" w:hint="cs"/>
          <w:b/>
          <w:bCs/>
          <w:color w:val="000000" w:themeColor="text1"/>
          <w:rtl/>
        </w:rPr>
        <w:t xml:space="preserve"> </w:t>
      </w:r>
      <w:r w:rsidR="00B45AC2" w:rsidRPr="007465FC">
        <w:rPr>
          <w:rFonts w:cs="Simplified Arabic" w:hint="cs"/>
          <w:b/>
          <w:bCs/>
          <w:color w:val="000000" w:themeColor="text1"/>
          <w:rtl/>
        </w:rPr>
        <w:t>شهدت</w:t>
      </w:r>
      <w:r w:rsidR="007465FC">
        <w:rPr>
          <w:rFonts w:cs="Simplified Arabic" w:hint="cs"/>
          <w:b/>
          <w:bCs/>
          <w:color w:val="000000" w:themeColor="text1"/>
          <w:rtl/>
        </w:rPr>
        <w:t>ه</w:t>
      </w:r>
      <w:r w:rsidR="00B45AC2" w:rsidRPr="007465FC">
        <w:rPr>
          <w:rFonts w:cs="Simplified Arabic" w:hint="cs"/>
          <w:b/>
          <w:bCs/>
          <w:color w:val="000000" w:themeColor="text1"/>
          <w:rtl/>
        </w:rPr>
        <w:t xml:space="preserve"> الأراضي الفلسطينية خلال </w:t>
      </w:r>
      <w:r w:rsidR="00204065" w:rsidRPr="007465FC">
        <w:rPr>
          <w:rFonts w:cs="Simplified Arabic" w:hint="cs"/>
          <w:b/>
          <w:bCs/>
          <w:color w:val="000000" w:themeColor="text1"/>
          <w:rtl/>
        </w:rPr>
        <w:t>العام 2011</w:t>
      </w:r>
      <w:r w:rsidR="007465FC">
        <w:rPr>
          <w:rFonts w:cs="Simplified Arabic" w:hint="cs"/>
          <w:b/>
          <w:bCs/>
          <w:color w:val="000000" w:themeColor="text1"/>
          <w:rtl/>
        </w:rPr>
        <w:t xml:space="preserve">، فقد </w:t>
      </w:r>
      <w:r w:rsidRPr="007465FC">
        <w:rPr>
          <w:rFonts w:cs="Simplified Arabic" w:hint="cs"/>
          <w:b/>
          <w:bCs/>
          <w:color w:val="000000" w:themeColor="text1"/>
          <w:rtl/>
        </w:rPr>
        <w:t xml:space="preserve">انخفض معدل الأجر اليومي الحقيقي </w:t>
      </w:r>
      <w:r w:rsidR="007465FC" w:rsidRPr="007465FC">
        <w:rPr>
          <w:rFonts w:cs="Simplified Arabic" w:hint="cs"/>
          <w:b/>
          <w:bCs/>
          <w:color w:val="000000" w:themeColor="text1"/>
          <w:rtl/>
        </w:rPr>
        <w:t xml:space="preserve">بنسبة </w:t>
      </w:r>
      <w:proofErr w:type="spellStart"/>
      <w:r w:rsidR="007465FC" w:rsidRPr="007465FC">
        <w:rPr>
          <w:rFonts w:cs="Simplified Arabic" w:hint="cs"/>
          <w:b/>
          <w:bCs/>
          <w:color w:val="000000" w:themeColor="text1"/>
          <w:rtl/>
        </w:rPr>
        <w:t>2.8%</w:t>
      </w:r>
      <w:proofErr w:type="spellEnd"/>
      <w:r w:rsidR="007465FC">
        <w:rPr>
          <w:rFonts w:cs="Simplified Arabic" w:hint="cs"/>
          <w:b/>
          <w:bCs/>
          <w:color w:val="000000" w:themeColor="text1"/>
          <w:rtl/>
        </w:rPr>
        <w:t xml:space="preserve"> مقارنة مع العام 2010.</w:t>
      </w:r>
      <w:r w:rsidR="007465FC">
        <w:rPr>
          <w:rFonts w:cs="Simplified Arabic" w:hint="cs"/>
          <w:color w:val="000000" w:themeColor="text1"/>
          <w:rtl/>
        </w:rPr>
        <w:t xml:space="preserve"> وكما يتضح من شكل </w:t>
      </w:r>
      <w:r w:rsidR="009B1082">
        <w:rPr>
          <w:rFonts w:cs="Simplified Arabic" w:hint="cs"/>
          <w:color w:val="000000" w:themeColor="text1"/>
          <w:rtl/>
        </w:rPr>
        <w:t>6</w:t>
      </w:r>
      <w:r w:rsidR="007465FC">
        <w:rPr>
          <w:rFonts w:cs="Simplified Arabic" w:hint="cs"/>
          <w:color w:val="000000" w:themeColor="text1"/>
          <w:rtl/>
        </w:rPr>
        <w:t xml:space="preserve">، فقد بلغ  </w:t>
      </w:r>
      <w:r w:rsidR="007465FC" w:rsidRPr="007465FC">
        <w:rPr>
          <w:rFonts w:cs="Simplified Arabic" w:hint="cs"/>
          <w:color w:val="000000" w:themeColor="text1"/>
          <w:rtl/>
        </w:rPr>
        <w:t>معدل الأجر اليومي الاسمي</w:t>
      </w:r>
      <w:r w:rsidR="00C90E74">
        <w:rPr>
          <w:rFonts w:cs="Simplified Arabic" w:hint="cs"/>
          <w:color w:val="000000" w:themeColor="text1"/>
          <w:rtl/>
        </w:rPr>
        <w:t xml:space="preserve"> </w:t>
      </w:r>
      <w:r w:rsidR="00204065" w:rsidRPr="00165FD2">
        <w:rPr>
          <w:rFonts w:cs="Simplified Arabic" w:hint="cs"/>
          <w:color w:val="000000" w:themeColor="text1"/>
          <w:rtl/>
        </w:rPr>
        <w:t>91.7</w:t>
      </w:r>
      <w:r w:rsidR="00C90E74">
        <w:rPr>
          <w:rFonts w:cs="Simplified Arabic" w:hint="cs"/>
          <w:color w:val="000000" w:themeColor="text1"/>
          <w:rtl/>
        </w:rPr>
        <w:t xml:space="preserve"> </w:t>
      </w:r>
      <w:r w:rsidR="00204065" w:rsidRPr="00165FD2">
        <w:rPr>
          <w:rFonts w:cs="Simplified Arabic" w:hint="cs"/>
          <w:color w:val="000000" w:themeColor="text1"/>
          <w:rtl/>
        </w:rPr>
        <w:t xml:space="preserve"> شيكل</w:t>
      </w:r>
      <w:r w:rsidR="007465FC">
        <w:rPr>
          <w:rFonts w:cs="Simplified Arabic" w:hint="cs"/>
          <w:color w:val="000000" w:themeColor="text1"/>
          <w:rtl/>
        </w:rPr>
        <w:t xml:space="preserve"> خلال العام 2011، وهو نفس معدل الأجر الاسمي عام 2010، ولكنه أعلى بحوالي </w:t>
      </w:r>
      <w:r w:rsidR="005069DB">
        <w:rPr>
          <w:rFonts w:cs="Simplified Arabic" w:hint="cs"/>
          <w:color w:val="000000" w:themeColor="text1"/>
          <w:rtl/>
        </w:rPr>
        <w:t>12.5</w:t>
      </w:r>
      <w:r w:rsidR="007465FC">
        <w:rPr>
          <w:rFonts w:cs="Simplified Arabic" w:hint="cs"/>
          <w:color w:val="000000" w:themeColor="text1"/>
          <w:rtl/>
        </w:rPr>
        <w:t xml:space="preserve">% مما كان عليه الأجر </w:t>
      </w:r>
      <w:r w:rsidR="009B1082">
        <w:rPr>
          <w:rFonts w:cs="Simplified Arabic" w:hint="cs"/>
          <w:color w:val="000000" w:themeColor="text1"/>
          <w:rtl/>
        </w:rPr>
        <w:t>الاسمي</w:t>
      </w:r>
      <w:r w:rsidR="007465FC">
        <w:rPr>
          <w:rFonts w:cs="Simplified Arabic" w:hint="cs"/>
          <w:color w:val="000000" w:themeColor="text1"/>
          <w:rtl/>
        </w:rPr>
        <w:t xml:space="preserve"> عام 2006.</w:t>
      </w:r>
      <w:r w:rsidR="00B45AC2" w:rsidRPr="00165FD2">
        <w:rPr>
          <w:rFonts w:cs="Simplified Arabic" w:hint="cs"/>
          <w:color w:val="000000" w:themeColor="text1"/>
          <w:rtl/>
        </w:rPr>
        <w:t xml:space="preserve"> ولكن إذا تم ربط الأجور بالتغير الحاصل في الأسعار </w:t>
      </w:r>
      <w:r w:rsidR="009B1082">
        <w:rPr>
          <w:rFonts w:cs="Simplified Arabic" w:hint="cs"/>
          <w:color w:val="000000" w:themeColor="text1"/>
          <w:rtl/>
        </w:rPr>
        <w:t>في</w:t>
      </w:r>
      <w:r w:rsidR="00B45AC2" w:rsidRPr="00165FD2">
        <w:rPr>
          <w:rFonts w:cs="Simplified Arabic" w:hint="cs"/>
          <w:color w:val="000000" w:themeColor="text1"/>
          <w:rtl/>
        </w:rPr>
        <w:t xml:space="preserve"> الأراضي الفلسطينية</w:t>
      </w:r>
      <w:r w:rsidR="009B1082">
        <w:rPr>
          <w:rFonts w:cs="Simplified Arabic" w:hint="cs"/>
          <w:color w:val="000000" w:themeColor="text1"/>
          <w:rtl/>
        </w:rPr>
        <w:t>، فإن</w:t>
      </w:r>
      <w:r w:rsidR="00B45AC2" w:rsidRPr="00165FD2">
        <w:rPr>
          <w:rFonts w:cs="Simplified Arabic" w:hint="cs"/>
          <w:color w:val="000000" w:themeColor="text1"/>
          <w:rtl/>
        </w:rPr>
        <w:t xml:space="preserve"> معدل الأجر الحقيقي خلال </w:t>
      </w:r>
      <w:r w:rsidR="009B1082">
        <w:rPr>
          <w:rFonts w:cs="Simplified Arabic" w:hint="cs"/>
          <w:color w:val="000000" w:themeColor="text1"/>
          <w:rtl/>
        </w:rPr>
        <w:t xml:space="preserve">العام 2011 أقل مما كان </w:t>
      </w:r>
      <w:r w:rsidR="009B1082" w:rsidRPr="00165FD2">
        <w:rPr>
          <w:rFonts w:cs="Simplified Arabic" w:hint="cs"/>
          <w:color w:val="000000" w:themeColor="text1"/>
          <w:rtl/>
        </w:rPr>
        <w:t xml:space="preserve">عام 2010 بنسبة 2.8% </w:t>
      </w:r>
      <w:r w:rsidR="009B1082">
        <w:rPr>
          <w:rFonts w:cs="Simplified Arabic" w:hint="cs"/>
          <w:color w:val="000000" w:themeColor="text1"/>
          <w:rtl/>
        </w:rPr>
        <w:t xml:space="preserve">وأقل مما كان عام 2004 بحوالي 6.4%، </w:t>
      </w:r>
      <w:r w:rsidR="00B45AC2" w:rsidRPr="00165FD2">
        <w:rPr>
          <w:rFonts w:cs="Simplified Arabic" w:hint="cs"/>
          <w:color w:val="000000" w:themeColor="text1"/>
          <w:rtl/>
        </w:rPr>
        <w:t xml:space="preserve">وهو ما يدلل على </w:t>
      </w:r>
      <w:r w:rsidR="00C761AF" w:rsidRPr="00165FD2">
        <w:rPr>
          <w:rFonts w:cs="Simplified Arabic" w:hint="cs"/>
          <w:color w:val="000000" w:themeColor="text1"/>
          <w:rtl/>
        </w:rPr>
        <w:t>انخفاض</w:t>
      </w:r>
      <w:r w:rsidR="00B45AC2" w:rsidRPr="00165FD2">
        <w:rPr>
          <w:rFonts w:cs="Simplified Arabic" w:hint="cs"/>
          <w:color w:val="000000" w:themeColor="text1"/>
          <w:rtl/>
        </w:rPr>
        <w:t xml:space="preserve"> القدرة الشرائية للأفراد في الأراضي الفلسطينية</w:t>
      </w:r>
      <w:r w:rsidR="009B1082">
        <w:rPr>
          <w:rFonts w:cs="Simplified Arabic" w:hint="cs"/>
          <w:color w:val="000000" w:themeColor="text1"/>
          <w:rtl/>
        </w:rPr>
        <w:t>، أي أن الزيادة في الأجر الاسمي للعامل كانت أقل من ارتفاع مستوى الأسعار في الأراضي الفلسطينية خلال تلك الفترة</w:t>
      </w:r>
      <w:r w:rsidR="00B45AC2" w:rsidRPr="00165FD2">
        <w:rPr>
          <w:rFonts w:cs="Simplified Arabic" w:hint="cs"/>
          <w:color w:val="000000" w:themeColor="text1"/>
          <w:rtl/>
        </w:rPr>
        <w:t>.</w:t>
      </w:r>
    </w:p>
    <w:p w:rsidR="00F63205" w:rsidRPr="00165FD2" w:rsidRDefault="00B45AC2" w:rsidP="00CF02CC">
      <w:pPr>
        <w:pStyle w:val="Heading1"/>
        <w:rPr>
          <w:color w:val="000000" w:themeColor="text1"/>
          <w:sz w:val="22"/>
          <w:szCs w:val="22"/>
          <w:rtl/>
        </w:rPr>
      </w:pPr>
      <w:r w:rsidRPr="00165FD2">
        <w:rPr>
          <w:rFonts w:hint="cs"/>
          <w:color w:val="000000" w:themeColor="text1"/>
          <w:sz w:val="22"/>
          <w:szCs w:val="22"/>
          <w:rtl/>
        </w:rPr>
        <w:t>شكل</w:t>
      </w:r>
      <w:r w:rsidR="00CF02CC">
        <w:rPr>
          <w:rFonts w:hint="cs"/>
          <w:color w:val="000000" w:themeColor="text1"/>
          <w:sz w:val="22"/>
          <w:szCs w:val="22"/>
          <w:rtl/>
        </w:rPr>
        <w:t xml:space="preserve"> 6</w:t>
      </w:r>
      <w:r w:rsidRPr="00165FD2">
        <w:rPr>
          <w:rFonts w:hint="cs"/>
          <w:color w:val="000000" w:themeColor="text1"/>
          <w:sz w:val="22"/>
          <w:szCs w:val="22"/>
          <w:rtl/>
        </w:rPr>
        <w:t xml:space="preserve">: معدل الأجر اليومي الاسمي </w:t>
      </w:r>
      <w:proofErr w:type="spellStart"/>
      <w:r w:rsidRPr="00165FD2">
        <w:rPr>
          <w:rFonts w:hint="cs"/>
          <w:color w:val="000000" w:themeColor="text1"/>
          <w:sz w:val="22"/>
          <w:szCs w:val="22"/>
          <w:rtl/>
        </w:rPr>
        <w:t>والحقيقي</w:t>
      </w:r>
      <w:proofErr w:type="spellEnd"/>
      <w:r w:rsidRPr="00165FD2">
        <w:rPr>
          <w:rFonts w:hint="cs"/>
          <w:color w:val="000000" w:themeColor="text1"/>
          <w:sz w:val="22"/>
          <w:szCs w:val="22"/>
          <w:rtl/>
        </w:rPr>
        <w:t xml:space="preserve"> </w:t>
      </w:r>
      <w:proofErr w:type="spellStart"/>
      <w:r w:rsidRPr="00165FD2">
        <w:rPr>
          <w:rFonts w:hint="cs"/>
          <w:color w:val="000000" w:themeColor="text1"/>
          <w:sz w:val="22"/>
          <w:szCs w:val="22"/>
          <w:rtl/>
        </w:rPr>
        <w:t>بالشيكل</w:t>
      </w:r>
      <w:proofErr w:type="spellEnd"/>
      <w:r w:rsidRPr="00165FD2">
        <w:rPr>
          <w:rFonts w:hint="cs"/>
          <w:color w:val="000000" w:themeColor="text1"/>
          <w:sz w:val="22"/>
          <w:szCs w:val="22"/>
          <w:rtl/>
        </w:rPr>
        <w:t xml:space="preserve"> الإسرائيلي </w:t>
      </w:r>
      <w:r w:rsidR="00334737" w:rsidRPr="00334737">
        <w:rPr>
          <w:rFonts w:hint="cs"/>
          <w:sz w:val="22"/>
          <w:szCs w:val="22"/>
          <w:rtl/>
        </w:rPr>
        <w:t xml:space="preserve">في الاراضي </w:t>
      </w:r>
      <w:proofErr w:type="spellStart"/>
      <w:r w:rsidR="00334737" w:rsidRPr="00334737">
        <w:rPr>
          <w:rFonts w:hint="cs"/>
          <w:sz w:val="22"/>
          <w:szCs w:val="22"/>
          <w:rtl/>
        </w:rPr>
        <w:t>الفلسطينية</w:t>
      </w:r>
      <w:r w:rsidRPr="00165FD2">
        <w:rPr>
          <w:rFonts w:hint="cs"/>
          <w:color w:val="000000" w:themeColor="text1"/>
          <w:sz w:val="22"/>
          <w:szCs w:val="22"/>
          <w:rtl/>
        </w:rPr>
        <w:t>،</w:t>
      </w:r>
      <w:proofErr w:type="spellEnd"/>
      <w:r w:rsidRPr="00165FD2">
        <w:rPr>
          <w:rFonts w:hint="cs"/>
          <w:color w:val="000000" w:themeColor="text1"/>
          <w:sz w:val="22"/>
          <w:szCs w:val="22"/>
          <w:rtl/>
        </w:rPr>
        <w:t xml:space="preserve"> (2004-20</w:t>
      </w:r>
      <w:r w:rsidR="000B7297" w:rsidRPr="00165FD2">
        <w:rPr>
          <w:rFonts w:hint="cs"/>
          <w:color w:val="000000" w:themeColor="text1"/>
          <w:sz w:val="22"/>
          <w:szCs w:val="22"/>
          <w:rtl/>
        </w:rPr>
        <w:t>11</w:t>
      </w:r>
      <w:proofErr w:type="spellStart"/>
      <w:r w:rsidRPr="00165FD2">
        <w:rPr>
          <w:rFonts w:hint="cs"/>
          <w:color w:val="000000" w:themeColor="text1"/>
          <w:sz w:val="22"/>
          <w:szCs w:val="22"/>
          <w:rtl/>
        </w:rPr>
        <w:t>)</w:t>
      </w:r>
      <w:proofErr w:type="spellEnd"/>
    </w:p>
    <w:p w:rsidR="00F63205" w:rsidRPr="00165FD2" w:rsidRDefault="00265E1A" w:rsidP="00A52525">
      <w:pPr>
        <w:spacing w:after="120"/>
        <w:jc w:val="center"/>
        <w:rPr>
          <w:color w:val="000000" w:themeColor="text1"/>
          <w:rtl/>
        </w:rPr>
      </w:pPr>
      <w:r w:rsidRPr="00165FD2">
        <w:rPr>
          <w:noProof/>
          <w:color w:val="000000" w:themeColor="text1"/>
          <w:lang w:eastAsia="en-US"/>
        </w:rPr>
        <w:drawing>
          <wp:inline distT="0" distB="0" distL="0" distR="0">
            <wp:extent cx="4895850" cy="2466975"/>
            <wp:effectExtent l="19050" t="0" r="1905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63205" w:rsidRPr="00435C1C" w:rsidRDefault="009B1082" w:rsidP="00435C1C">
      <w:pPr>
        <w:pStyle w:val="Heading3"/>
        <w:keepNext w:val="0"/>
        <w:spacing w:before="240" w:after="200"/>
        <w:jc w:val="lowKashida"/>
        <w:rPr>
          <w:b w:val="0"/>
          <w:bCs w:val="0"/>
          <w:color w:val="000000" w:themeColor="text1"/>
          <w:rtl/>
        </w:rPr>
      </w:pPr>
      <w:r>
        <w:rPr>
          <w:rFonts w:hint="cs"/>
          <w:color w:val="000000" w:themeColor="text1"/>
          <w:rtl/>
        </w:rPr>
        <w:lastRenderedPageBreak/>
        <w:t xml:space="preserve">خلال العام 2011، </w:t>
      </w:r>
      <w:r w:rsidR="00494058" w:rsidRPr="00165FD2">
        <w:rPr>
          <w:rFonts w:hint="cs"/>
          <w:color w:val="000000" w:themeColor="text1"/>
          <w:rtl/>
        </w:rPr>
        <w:t>انخفض</w:t>
      </w:r>
      <w:r>
        <w:rPr>
          <w:rFonts w:hint="cs"/>
          <w:color w:val="000000" w:themeColor="text1"/>
          <w:rtl/>
        </w:rPr>
        <w:t xml:space="preserve"> معدل</w:t>
      </w:r>
      <w:r w:rsidR="00B45AC2" w:rsidRPr="00165FD2">
        <w:rPr>
          <w:rFonts w:hint="cs"/>
          <w:color w:val="000000" w:themeColor="text1"/>
          <w:rtl/>
        </w:rPr>
        <w:t xml:space="preserve"> إنتاجية العامل في الأراضي الفلسطينية </w:t>
      </w:r>
      <w:r w:rsidRPr="00165FD2">
        <w:rPr>
          <w:rFonts w:hint="cs"/>
          <w:color w:val="000000" w:themeColor="text1"/>
          <w:rtl/>
        </w:rPr>
        <w:t>بنسبة</w:t>
      </w:r>
      <w:r>
        <w:rPr>
          <w:rFonts w:hint="cs"/>
          <w:color w:val="000000" w:themeColor="text1"/>
          <w:rtl/>
        </w:rPr>
        <w:t xml:space="preserve"> </w:t>
      </w:r>
      <w:r w:rsidRPr="00165FD2">
        <w:rPr>
          <w:rFonts w:hint="cs"/>
          <w:color w:val="000000" w:themeColor="text1"/>
          <w:rtl/>
        </w:rPr>
        <w:t>3.</w:t>
      </w:r>
      <w:r>
        <w:rPr>
          <w:rFonts w:hint="cs"/>
          <w:color w:val="000000" w:themeColor="text1"/>
          <w:rtl/>
        </w:rPr>
        <w:t>9</w:t>
      </w:r>
      <w:r w:rsidRPr="00165FD2">
        <w:rPr>
          <w:rFonts w:hint="cs"/>
          <w:color w:val="000000" w:themeColor="text1"/>
          <w:rtl/>
        </w:rPr>
        <w:t xml:space="preserve">% </w:t>
      </w:r>
      <w:r w:rsidR="00B45AC2" w:rsidRPr="00165FD2">
        <w:rPr>
          <w:rFonts w:hint="cs"/>
          <w:color w:val="000000" w:themeColor="text1"/>
          <w:rtl/>
        </w:rPr>
        <w:t xml:space="preserve">مقارنة مع عام </w:t>
      </w:r>
      <w:r w:rsidR="00216751" w:rsidRPr="00165FD2">
        <w:rPr>
          <w:rFonts w:hint="cs"/>
          <w:color w:val="000000" w:themeColor="text1"/>
          <w:rtl/>
        </w:rPr>
        <w:t xml:space="preserve"> </w:t>
      </w:r>
      <w:r w:rsidR="00494058" w:rsidRPr="00165FD2">
        <w:rPr>
          <w:rFonts w:hint="cs"/>
          <w:color w:val="000000" w:themeColor="text1"/>
          <w:rtl/>
        </w:rPr>
        <w:t>2010</w:t>
      </w:r>
      <w:r w:rsidR="00B45AC2" w:rsidRPr="00165FD2">
        <w:rPr>
          <w:rFonts w:hint="cs"/>
          <w:color w:val="000000" w:themeColor="text1"/>
          <w:rtl/>
        </w:rPr>
        <w:t>.</w:t>
      </w:r>
      <w:r>
        <w:rPr>
          <w:rFonts w:hint="cs"/>
          <w:color w:val="000000" w:themeColor="text1"/>
          <w:rtl/>
        </w:rPr>
        <w:t xml:space="preserve"> </w:t>
      </w:r>
      <w:r w:rsidRPr="009B1082">
        <w:rPr>
          <w:rFonts w:hint="cs"/>
          <w:b w:val="0"/>
          <w:bCs w:val="0"/>
          <w:color w:val="000000" w:themeColor="text1"/>
          <w:rtl/>
        </w:rPr>
        <w:t>ويقاس</w:t>
      </w:r>
      <w:r>
        <w:rPr>
          <w:rFonts w:hint="cs"/>
          <w:color w:val="000000" w:themeColor="text1"/>
          <w:rtl/>
        </w:rPr>
        <w:t xml:space="preserve"> </w:t>
      </w:r>
      <w:r w:rsidRPr="009B1082">
        <w:rPr>
          <w:rFonts w:hint="cs"/>
          <w:b w:val="0"/>
          <w:bCs w:val="0"/>
          <w:color w:val="000000" w:themeColor="text1"/>
          <w:rtl/>
        </w:rPr>
        <w:t>معدل الإنتاجية</w:t>
      </w:r>
      <w:r>
        <w:rPr>
          <w:rFonts w:hint="cs"/>
          <w:b w:val="0"/>
          <w:bCs w:val="0"/>
          <w:color w:val="000000" w:themeColor="text1"/>
          <w:rtl/>
        </w:rPr>
        <w:t xml:space="preserve"> بنصيب العامل من القيمة المضافة</w:t>
      </w:r>
      <w:r w:rsidR="002D3645">
        <w:rPr>
          <w:rFonts w:hint="cs"/>
          <w:b w:val="0"/>
          <w:bCs w:val="0"/>
          <w:color w:val="000000" w:themeColor="text1"/>
          <w:rtl/>
        </w:rPr>
        <w:t xml:space="preserve">، أي بقسمة الناتج المحلي الإجمالي (مجموع القيمة المضافة) على عدد العاملين في الاقتصاد أو في القطاع. </w:t>
      </w:r>
      <w:r w:rsidR="002D3645" w:rsidRPr="002D3645">
        <w:rPr>
          <w:rFonts w:hint="cs"/>
          <w:b w:val="0"/>
          <w:bCs w:val="0"/>
          <w:color w:val="000000" w:themeColor="text1"/>
          <w:rtl/>
        </w:rPr>
        <w:t>و</w:t>
      </w:r>
      <w:r w:rsidR="00B45AC2" w:rsidRPr="002D3645">
        <w:rPr>
          <w:rFonts w:hint="eastAsia"/>
          <w:b w:val="0"/>
          <w:bCs w:val="0"/>
          <w:color w:val="000000" w:themeColor="text1"/>
          <w:rtl/>
        </w:rPr>
        <w:t>تعتبر</w:t>
      </w:r>
      <w:r w:rsidR="00B45AC2" w:rsidRPr="002D3645">
        <w:rPr>
          <w:b w:val="0"/>
          <w:bCs w:val="0"/>
          <w:color w:val="000000" w:themeColor="text1"/>
          <w:rtl/>
        </w:rPr>
        <w:t xml:space="preserve"> إنتاجية </w:t>
      </w:r>
      <w:r w:rsidR="00B45AC2" w:rsidRPr="002D3645">
        <w:rPr>
          <w:rFonts w:hint="cs"/>
          <w:b w:val="0"/>
          <w:bCs w:val="0"/>
          <w:color w:val="000000" w:themeColor="text1"/>
          <w:rtl/>
        </w:rPr>
        <w:t>العامل</w:t>
      </w:r>
      <w:r w:rsidR="00B45AC2" w:rsidRPr="002D3645">
        <w:rPr>
          <w:b w:val="0"/>
          <w:bCs w:val="0"/>
          <w:color w:val="000000" w:themeColor="text1"/>
          <w:rtl/>
        </w:rPr>
        <w:t xml:space="preserve"> مؤشراً </w:t>
      </w:r>
      <w:r w:rsidR="00B45AC2" w:rsidRPr="002D3645">
        <w:rPr>
          <w:rFonts w:hint="cs"/>
          <w:b w:val="0"/>
          <w:bCs w:val="0"/>
          <w:color w:val="000000" w:themeColor="text1"/>
          <w:rtl/>
        </w:rPr>
        <w:t>هاماً</w:t>
      </w:r>
      <w:r w:rsidR="00B45AC2" w:rsidRPr="002D3645">
        <w:rPr>
          <w:b w:val="0"/>
          <w:bCs w:val="0"/>
          <w:color w:val="000000" w:themeColor="text1"/>
          <w:rtl/>
        </w:rPr>
        <w:t xml:space="preserve"> لقياس مدى كفاءة وفعالية عنصر العمل في تحقيق </w:t>
      </w:r>
      <w:r w:rsidR="00B45AC2" w:rsidRPr="002D3645">
        <w:rPr>
          <w:rFonts w:hint="eastAsia"/>
          <w:b w:val="0"/>
          <w:bCs w:val="0"/>
          <w:color w:val="000000" w:themeColor="text1"/>
          <w:rtl/>
        </w:rPr>
        <w:t>مستوى</w:t>
      </w:r>
      <w:r w:rsidR="00B45AC2" w:rsidRPr="002D3645">
        <w:rPr>
          <w:b w:val="0"/>
          <w:bCs w:val="0"/>
          <w:color w:val="000000" w:themeColor="text1"/>
          <w:rtl/>
        </w:rPr>
        <w:t xml:space="preserve"> معين من مخرجات العملية الإنتاجية. وهناك عوامل </w:t>
      </w:r>
      <w:r w:rsidR="002D3645">
        <w:rPr>
          <w:rFonts w:hint="cs"/>
          <w:b w:val="0"/>
          <w:bCs w:val="0"/>
          <w:color w:val="000000" w:themeColor="text1"/>
          <w:rtl/>
        </w:rPr>
        <w:t>عديدة</w:t>
      </w:r>
      <w:r w:rsidR="00B45AC2" w:rsidRPr="002D3645">
        <w:rPr>
          <w:b w:val="0"/>
          <w:bCs w:val="0"/>
          <w:color w:val="000000" w:themeColor="text1"/>
          <w:rtl/>
        </w:rPr>
        <w:t xml:space="preserve"> تلعب دورا مهما </w:t>
      </w:r>
      <w:r w:rsidR="00B45AC2" w:rsidRPr="002D3645">
        <w:rPr>
          <w:rFonts w:hint="eastAsia"/>
          <w:b w:val="0"/>
          <w:bCs w:val="0"/>
          <w:color w:val="000000" w:themeColor="text1"/>
          <w:rtl/>
        </w:rPr>
        <w:t>في</w:t>
      </w:r>
      <w:r w:rsidR="00B45AC2" w:rsidRPr="002D3645">
        <w:rPr>
          <w:b w:val="0"/>
          <w:bCs w:val="0"/>
          <w:color w:val="000000" w:themeColor="text1"/>
          <w:rtl/>
        </w:rPr>
        <w:t xml:space="preserve"> تحديد مستوى إنتاجية العامل، من </w:t>
      </w:r>
      <w:r w:rsidR="002D3645">
        <w:rPr>
          <w:rFonts w:hint="cs"/>
          <w:b w:val="0"/>
          <w:bCs w:val="0"/>
          <w:color w:val="000000" w:themeColor="text1"/>
          <w:rtl/>
        </w:rPr>
        <w:t>بينها</w:t>
      </w:r>
      <w:r w:rsidR="00B45AC2" w:rsidRPr="002D3645">
        <w:rPr>
          <w:b w:val="0"/>
          <w:bCs w:val="0"/>
          <w:color w:val="000000" w:themeColor="text1"/>
          <w:rtl/>
        </w:rPr>
        <w:t xml:space="preserve"> جودة </w:t>
      </w:r>
      <w:proofErr w:type="spellStart"/>
      <w:r w:rsidR="00B45AC2" w:rsidRPr="002D3645">
        <w:rPr>
          <w:b w:val="0"/>
          <w:bCs w:val="0"/>
          <w:color w:val="000000" w:themeColor="text1"/>
          <w:rtl/>
        </w:rPr>
        <w:t>مدخلات</w:t>
      </w:r>
      <w:proofErr w:type="spellEnd"/>
      <w:r w:rsidR="00B45AC2" w:rsidRPr="002D3645">
        <w:rPr>
          <w:b w:val="0"/>
          <w:bCs w:val="0"/>
          <w:color w:val="000000" w:themeColor="text1"/>
          <w:rtl/>
        </w:rPr>
        <w:t xml:space="preserve"> </w:t>
      </w:r>
      <w:r w:rsidR="00216751" w:rsidRPr="002D3645">
        <w:rPr>
          <w:rFonts w:hint="cs"/>
          <w:b w:val="0"/>
          <w:bCs w:val="0"/>
          <w:color w:val="000000" w:themeColor="text1"/>
          <w:rtl/>
        </w:rPr>
        <w:t>الإنتاج</w:t>
      </w:r>
      <w:r w:rsidR="00B45AC2" w:rsidRPr="002D3645">
        <w:rPr>
          <w:rFonts w:hint="cs"/>
          <w:b w:val="0"/>
          <w:bCs w:val="0"/>
          <w:color w:val="000000" w:themeColor="text1"/>
          <w:rtl/>
        </w:rPr>
        <w:t xml:space="preserve"> </w:t>
      </w:r>
      <w:r w:rsidR="002D3645">
        <w:rPr>
          <w:rFonts w:hint="cs"/>
          <w:b w:val="0"/>
          <w:bCs w:val="0"/>
          <w:color w:val="000000" w:themeColor="text1"/>
          <w:rtl/>
        </w:rPr>
        <w:t>و</w:t>
      </w:r>
      <w:r w:rsidR="00216751" w:rsidRPr="002D3645">
        <w:rPr>
          <w:rFonts w:hint="cs"/>
          <w:b w:val="0"/>
          <w:bCs w:val="0"/>
          <w:color w:val="000000" w:themeColor="text1"/>
          <w:rtl/>
        </w:rPr>
        <w:t>التكنولوجيا</w:t>
      </w:r>
      <w:r w:rsidR="00B45AC2" w:rsidRPr="002D3645">
        <w:rPr>
          <w:b w:val="0"/>
          <w:bCs w:val="0"/>
          <w:color w:val="000000" w:themeColor="text1"/>
          <w:rtl/>
        </w:rPr>
        <w:t xml:space="preserve"> والتعليم </w:t>
      </w:r>
      <w:r w:rsidR="00216751" w:rsidRPr="002D3645">
        <w:rPr>
          <w:rFonts w:hint="cs"/>
          <w:b w:val="0"/>
          <w:bCs w:val="0"/>
          <w:color w:val="000000" w:themeColor="text1"/>
          <w:rtl/>
        </w:rPr>
        <w:t>والتدريب</w:t>
      </w:r>
      <w:r w:rsidR="00B45AC2" w:rsidRPr="002D3645">
        <w:rPr>
          <w:b w:val="0"/>
          <w:bCs w:val="0"/>
          <w:color w:val="000000" w:themeColor="text1"/>
          <w:rtl/>
        </w:rPr>
        <w:t xml:space="preserve"> وبيئة العمل </w:t>
      </w:r>
      <w:r w:rsidR="00B45AC2" w:rsidRPr="002D3645">
        <w:rPr>
          <w:rFonts w:hint="eastAsia"/>
          <w:b w:val="0"/>
          <w:bCs w:val="0"/>
          <w:color w:val="000000" w:themeColor="text1"/>
          <w:rtl/>
        </w:rPr>
        <w:t>المتمثلة</w:t>
      </w:r>
      <w:r w:rsidR="00B45AC2" w:rsidRPr="002D3645">
        <w:rPr>
          <w:b w:val="0"/>
          <w:bCs w:val="0"/>
          <w:color w:val="000000" w:themeColor="text1"/>
          <w:rtl/>
        </w:rPr>
        <w:t xml:space="preserve"> في القوانين والتشريعات الخاصة بسوق العمل</w:t>
      </w:r>
      <w:r w:rsidR="002D3645">
        <w:rPr>
          <w:rFonts w:hint="cs"/>
          <w:b w:val="0"/>
          <w:bCs w:val="0"/>
          <w:color w:val="000000" w:themeColor="text1"/>
          <w:rtl/>
        </w:rPr>
        <w:t xml:space="preserve"> وغيرها</w:t>
      </w:r>
      <w:r w:rsidR="00B45AC2" w:rsidRPr="002D3645">
        <w:rPr>
          <w:rFonts w:hint="cs"/>
          <w:b w:val="0"/>
          <w:bCs w:val="0"/>
          <w:color w:val="000000" w:themeColor="text1"/>
          <w:rtl/>
        </w:rPr>
        <w:t>.</w:t>
      </w:r>
      <w:r w:rsidR="002D3645">
        <w:rPr>
          <w:rFonts w:hint="cs"/>
          <w:b w:val="0"/>
          <w:bCs w:val="0"/>
          <w:color w:val="000000" w:themeColor="text1"/>
          <w:rtl/>
        </w:rPr>
        <w:t xml:space="preserve"> وقد تذبذبت إنتاجية العامل </w:t>
      </w:r>
      <w:r w:rsidR="00B45AC2" w:rsidRPr="002D3645">
        <w:rPr>
          <w:rFonts w:hint="cs"/>
          <w:b w:val="0"/>
          <w:bCs w:val="0"/>
          <w:color w:val="000000" w:themeColor="text1"/>
          <w:rtl/>
        </w:rPr>
        <w:t>خلال الفترة 2004-</w:t>
      </w:r>
      <w:r w:rsidR="00DB5CF5" w:rsidRPr="002D3645">
        <w:rPr>
          <w:rFonts w:hint="cs"/>
          <w:b w:val="0"/>
          <w:bCs w:val="0"/>
          <w:color w:val="000000" w:themeColor="text1"/>
          <w:rtl/>
        </w:rPr>
        <w:t>2011</w:t>
      </w:r>
      <w:r w:rsidR="002D3645">
        <w:rPr>
          <w:rFonts w:hint="cs"/>
          <w:b w:val="0"/>
          <w:bCs w:val="0"/>
          <w:color w:val="000000" w:themeColor="text1"/>
          <w:rtl/>
        </w:rPr>
        <w:t>، حيث</w:t>
      </w:r>
      <w:r w:rsidR="00B45AC2" w:rsidRPr="002D3645">
        <w:rPr>
          <w:rFonts w:hint="cs"/>
          <w:b w:val="0"/>
          <w:bCs w:val="0"/>
          <w:color w:val="000000" w:themeColor="text1"/>
          <w:rtl/>
        </w:rPr>
        <w:t xml:space="preserve"> تناقص</w:t>
      </w:r>
      <w:r w:rsidR="002D3645">
        <w:rPr>
          <w:rFonts w:hint="cs"/>
          <w:b w:val="0"/>
          <w:bCs w:val="0"/>
          <w:color w:val="000000" w:themeColor="text1"/>
          <w:rtl/>
        </w:rPr>
        <w:t>ت</w:t>
      </w:r>
      <w:r w:rsidR="00B45AC2" w:rsidRPr="002D3645">
        <w:rPr>
          <w:rFonts w:hint="cs"/>
          <w:b w:val="0"/>
          <w:bCs w:val="0"/>
          <w:color w:val="000000" w:themeColor="text1"/>
          <w:rtl/>
        </w:rPr>
        <w:t xml:space="preserve"> بشكل مستمر </w:t>
      </w:r>
      <w:r w:rsidR="002D3645">
        <w:rPr>
          <w:rFonts w:hint="cs"/>
          <w:b w:val="0"/>
          <w:bCs w:val="0"/>
          <w:color w:val="000000" w:themeColor="text1"/>
          <w:rtl/>
        </w:rPr>
        <w:t>بعد ال</w:t>
      </w:r>
      <w:r w:rsidR="00B45AC2" w:rsidRPr="002D3645">
        <w:rPr>
          <w:rFonts w:hint="cs"/>
          <w:b w:val="0"/>
          <w:bCs w:val="0"/>
          <w:color w:val="000000" w:themeColor="text1"/>
          <w:rtl/>
        </w:rPr>
        <w:t>عام 2004 حتى</w:t>
      </w:r>
      <w:r w:rsidR="00B45AC2" w:rsidRPr="00165FD2">
        <w:rPr>
          <w:rFonts w:hint="cs"/>
          <w:color w:val="000000" w:themeColor="text1"/>
          <w:rtl/>
        </w:rPr>
        <w:t xml:space="preserve"> </w:t>
      </w:r>
      <w:r w:rsidR="002D3645" w:rsidRPr="002D3645">
        <w:rPr>
          <w:rFonts w:hint="cs"/>
          <w:b w:val="0"/>
          <w:bCs w:val="0"/>
          <w:color w:val="000000" w:themeColor="text1"/>
          <w:rtl/>
        </w:rPr>
        <w:t>وصلت أدنى مستوى عام</w:t>
      </w:r>
      <w:r w:rsidR="00B45AC2" w:rsidRPr="002D3645">
        <w:rPr>
          <w:rFonts w:hint="cs"/>
          <w:b w:val="0"/>
          <w:bCs w:val="0"/>
          <w:color w:val="000000" w:themeColor="text1"/>
          <w:rtl/>
        </w:rPr>
        <w:t xml:space="preserve"> 2007 </w:t>
      </w:r>
      <w:r w:rsidR="002D3645" w:rsidRPr="002D3645">
        <w:rPr>
          <w:rFonts w:hint="cs"/>
          <w:b w:val="0"/>
          <w:bCs w:val="0"/>
          <w:color w:val="000000" w:themeColor="text1"/>
          <w:rtl/>
        </w:rPr>
        <w:t>قبل أن ت</w:t>
      </w:r>
      <w:r w:rsidR="00B45AC2" w:rsidRPr="002D3645">
        <w:rPr>
          <w:rFonts w:hint="cs"/>
          <w:b w:val="0"/>
          <w:bCs w:val="0"/>
          <w:color w:val="000000" w:themeColor="text1"/>
          <w:rtl/>
        </w:rPr>
        <w:t>بدأ بالتعافي ل</w:t>
      </w:r>
      <w:r w:rsidR="002D3645" w:rsidRPr="002D3645">
        <w:rPr>
          <w:rFonts w:hint="cs"/>
          <w:b w:val="0"/>
          <w:bCs w:val="0"/>
          <w:color w:val="000000" w:themeColor="text1"/>
          <w:rtl/>
        </w:rPr>
        <w:t>ت</w:t>
      </w:r>
      <w:r w:rsidR="00B45AC2" w:rsidRPr="002D3645">
        <w:rPr>
          <w:rFonts w:hint="cs"/>
          <w:b w:val="0"/>
          <w:bCs w:val="0"/>
          <w:color w:val="000000" w:themeColor="text1"/>
          <w:rtl/>
        </w:rPr>
        <w:t>صل أقص</w:t>
      </w:r>
      <w:r w:rsidR="002D3645" w:rsidRPr="002D3645">
        <w:rPr>
          <w:rFonts w:hint="cs"/>
          <w:b w:val="0"/>
          <w:bCs w:val="0"/>
          <w:color w:val="000000" w:themeColor="text1"/>
          <w:rtl/>
        </w:rPr>
        <w:t xml:space="preserve">ى نسبة </w:t>
      </w:r>
      <w:r w:rsidR="00B45AC2" w:rsidRPr="002D3645">
        <w:rPr>
          <w:rFonts w:hint="cs"/>
          <w:b w:val="0"/>
          <w:bCs w:val="0"/>
          <w:color w:val="000000" w:themeColor="text1"/>
          <w:rtl/>
        </w:rPr>
        <w:t xml:space="preserve">عام 2010 بواقع </w:t>
      </w:r>
      <w:r w:rsidR="00211C81" w:rsidRPr="002D3645">
        <w:rPr>
          <w:b w:val="0"/>
          <w:bCs w:val="0"/>
          <w:color w:val="000000" w:themeColor="text1"/>
        </w:rPr>
        <w:t>8,925.4</w:t>
      </w:r>
      <w:r w:rsidR="00B77000">
        <w:rPr>
          <w:rFonts w:hint="cs"/>
          <w:b w:val="0"/>
          <w:bCs w:val="0"/>
          <w:color w:val="000000" w:themeColor="text1"/>
          <w:rtl/>
        </w:rPr>
        <w:t xml:space="preserve"> </w:t>
      </w:r>
      <w:r w:rsidR="00216751" w:rsidRPr="002D3645">
        <w:rPr>
          <w:rFonts w:hint="cs"/>
          <w:b w:val="0"/>
          <w:bCs w:val="0"/>
          <w:color w:val="000000" w:themeColor="text1"/>
          <w:rtl/>
        </w:rPr>
        <w:t xml:space="preserve"> دولار لكل عامل</w:t>
      </w:r>
      <w:r w:rsidR="002D3645">
        <w:rPr>
          <w:rFonts w:hint="cs"/>
          <w:b w:val="0"/>
          <w:bCs w:val="0"/>
          <w:color w:val="000000" w:themeColor="text1"/>
          <w:rtl/>
        </w:rPr>
        <w:t xml:space="preserve"> (شكل 7)</w:t>
      </w:r>
      <w:r w:rsidR="00216751" w:rsidRPr="002D3645">
        <w:rPr>
          <w:rFonts w:hint="cs"/>
          <w:b w:val="0"/>
          <w:bCs w:val="0"/>
          <w:color w:val="000000" w:themeColor="text1"/>
          <w:rtl/>
        </w:rPr>
        <w:t>.</w:t>
      </w:r>
    </w:p>
    <w:p w:rsidR="00F63205" w:rsidRPr="00165FD2" w:rsidRDefault="00B45AC2" w:rsidP="00CF02CC">
      <w:pPr>
        <w:jc w:val="center"/>
        <w:rPr>
          <w:rFonts w:cs="Simplified Arabic"/>
          <w:b/>
          <w:bCs/>
          <w:color w:val="000000" w:themeColor="text1"/>
          <w:sz w:val="22"/>
          <w:szCs w:val="22"/>
          <w:rtl/>
        </w:rPr>
      </w:pPr>
      <w:r w:rsidRPr="00165FD2">
        <w:rPr>
          <w:rFonts w:cs="Simplified Arabic" w:hint="cs"/>
          <w:b/>
          <w:bCs/>
          <w:color w:val="000000" w:themeColor="text1"/>
          <w:sz w:val="22"/>
          <w:szCs w:val="22"/>
          <w:rtl/>
        </w:rPr>
        <w:t>شكل</w:t>
      </w:r>
      <w:r w:rsidR="00CF02CC">
        <w:rPr>
          <w:rFonts w:cs="Simplified Arabic" w:hint="cs"/>
          <w:b/>
          <w:bCs/>
          <w:color w:val="000000" w:themeColor="text1"/>
          <w:sz w:val="22"/>
          <w:szCs w:val="22"/>
          <w:rtl/>
        </w:rPr>
        <w:t xml:space="preserve"> 7</w:t>
      </w:r>
      <w:r w:rsidRPr="00165FD2">
        <w:rPr>
          <w:rFonts w:cs="Simplified Arabic" w:hint="cs"/>
          <w:b/>
          <w:bCs/>
          <w:color w:val="000000" w:themeColor="text1"/>
          <w:sz w:val="22"/>
          <w:szCs w:val="22"/>
          <w:rtl/>
        </w:rPr>
        <w:t>: معدل إنتاج</w:t>
      </w:r>
      <w:r w:rsidR="00334737">
        <w:rPr>
          <w:rFonts w:cs="Simplified Arabic" w:hint="cs"/>
          <w:b/>
          <w:bCs/>
          <w:color w:val="000000" w:themeColor="text1"/>
          <w:sz w:val="22"/>
          <w:szCs w:val="22"/>
          <w:rtl/>
        </w:rPr>
        <w:t>ية العامل في الأراضي الفلسطينية</w:t>
      </w:r>
      <w:r w:rsidRPr="00165FD2">
        <w:rPr>
          <w:rFonts w:cs="Simplified Arabic" w:hint="cs"/>
          <w:b/>
          <w:bCs/>
          <w:color w:val="000000" w:themeColor="text1"/>
          <w:sz w:val="22"/>
          <w:szCs w:val="22"/>
          <w:rtl/>
        </w:rPr>
        <w:t>، (2004-</w:t>
      </w:r>
      <w:r w:rsidR="00216751" w:rsidRPr="00165FD2">
        <w:rPr>
          <w:rFonts w:cs="Simplified Arabic" w:hint="cs"/>
          <w:b/>
          <w:bCs/>
          <w:color w:val="000000" w:themeColor="text1"/>
          <w:sz w:val="22"/>
          <w:szCs w:val="22"/>
          <w:rtl/>
        </w:rPr>
        <w:t>2011</w:t>
      </w:r>
      <w:r w:rsidRPr="00165FD2">
        <w:rPr>
          <w:rFonts w:cs="Simplified Arabic" w:hint="cs"/>
          <w:b/>
          <w:bCs/>
          <w:color w:val="000000" w:themeColor="text1"/>
          <w:sz w:val="22"/>
          <w:szCs w:val="22"/>
          <w:rtl/>
        </w:rPr>
        <w:t>)</w:t>
      </w:r>
    </w:p>
    <w:p w:rsidR="00B77000" w:rsidRPr="00435C1C" w:rsidRDefault="00265E1A" w:rsidP="00435C1C">
      <w:pPr>
        <w:spacing w:after="120"/>
        <w:jc w:val="center"/>
        <w:rPr>
          <w:color w:val="000000" w:themeColor="text1"/>
          <w:rtl/>
        </w:rPr>
      </w:pPr>
      <w:r w:rsidRPr="00165FD2">
        <w:rPr>
          <w:noProof/>
          <w:color w:val="000000" w:themeColor="text1"/>
          <w:lang w:eastAsia="en-US"/>
        </w:rPr>
        <w:drawing>
          <wp:inline distT="0" distB="0" distL="0" distR="0">
            <wp:extent cx="4762500" cy="2619375"/>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77000" w:rsidRPr="00165FD2" w:rsidRDefault="002D3645" w:rsidP="00435C1C">
      <w:pPr>
        <w:spacing w:before="240" w:after="200"/>
        <w:jc w:val="lowKashida"/>
        <w:rPr>
          <w:rFonts w:cs="Simplified Arabic"/>
          <w:color w:val="000000" w:themeColor="text1"/>
          <w:rtl/>
        </w:rPr>
      </w:pPr>
      <w:r w:rsidRPr="002D3645">
        <w:rPr>
          <w:rFonts w:cs="Simplified Arabic" w:hint="cs"/>
          <w:b/>
          <w:bCs/>
          <w:color w:val="000000" w:themeColor="text1"/>
          <w:rtl/>
        </w:rPr>
        <w:t>شهدت معظم الأنشطة الاقتصادية في الأراضي الفلسطينية ارتفاعاً في أعداد العاملين بنسب مختلفة</w:t>
      </w:r>
      <w:r>
        <w:rPr>
          <w:rFonts w:cs="Simplified Arabic" w:hint="cs"/>
          <w:b/>
          <w:bCs/>
          <w:color w:val="000000" w:themeColor="text1"/>
          <w:rtl/>
        </w:rPr>
        <w:t>، وتفاوت ذلك بين الضفة الغربية وقطاع غزة</w:t>
      </w:r>
      <w:r>
        <w:rPr>
          <w:rFonts w:cs="Simplified Arabic" w:hint="cs"/>
          <w:color w:val="000000" w:themeColor="text1"/>
          <w:rtl/>
        </w:rPr>
        <w:t>. فقد</w:t>
      </w:r>
      <w:r w:rsidRPr="00165FD2">
        <w:rPr>
          <w:rFonts w:cs="Simplified Arabic" w:hint="cs"/>
          <w:color w:val="000000" w:themeColor="text1"/>
          <w:rtl/>
        </w:rPr>
        <w:t xml:space="preserve"> سجل</w:t>
      </w:r>
      <w:r>
        <w:rPr>
          <w:rFonts w:cs="Simplified Arabic" w:hint="cs"/>
          <w:color w:val="000000" w:themeColor="text1"/>
          <w:rtl/>
        </w:rPr>
        <w:t xml:space="preserve"> نشاط</w:t>
      </w:r>
      <w:r w:rsidRPr="00165FD2">
        <w:rPr>
          <w:rFonts w:cs="Simplified Arabic" w:hint="cs"/>
          <w:color w:val="000000" w:themeColor="text1"/>
          <w:rtl/>
        </w:rPr>
        <w:t xml:space="preserve"> التجارة والمطاعم والفنادق أعل</w:t>
      </w:r>
      <w:r w:rsidRPr="00165FD2">
        <w:rPr>
          <w:rFonts w:cs="Simplified Arabic" w:hint="eastAsia"/>
          <w:color w:val="000000" w:themeColor="text1"/>
          <w:rtl/>
        </w:rPr>
        <w:t>ى</w:t>
      </w:r>
      <w:r w:rsidRPr="00165FD2">
        <w:rPr>
          <w:rFonts w:cs="Simplified Arabic" w:hint="cs"/>
          <w:color w:val="000000" w:themeColor="text1"/>
          <w:rtl/>
        </w:rPr>
        <w:t xml:space="preserve"> معدل نمو في عدد العاملين خلال العام 2011 بنسبة 18.5% مقارنة مع عام 2010، كما شهد نشاط النقل والتخزين والاتصالا</w:t>
      </w:r>
      <w:r w:rsidRPr="00165FD2">
        <w:rPr>
          <w:rFonts w:cs="Simplified Arabic" w:hint="eastAsia"/>
          <w:color w:val="000000" w:themeColor="text1"/>
          <w:rtl/>
        </w:rPr>
        <w:t>ت</w:t>
      </w:r>
      <w:r w:rsidRPr="00165FD2">
        <w:rPr>
          <w:rFonts w:cs="Simplified Arabic" w:hint="cs"/>
          <w:color w:val="000000" w:themeColor="text1"/>
          <w:rtl/>
        </w:rPr>
        <w:t xml:space="preserve"> بالإضافة إلى أنشطة البناء والتشييد (الإنشاءات) والزراعة وصيد الأسماك نمواً في أعداد العاملين خلال عام 2011.</w:t>
      </w:r>
    </w:p>
    <w:p w:rsidR="008117BF" w:rsidRPr="00165FD2" w:rsidRDefault="008117BF" w:rsidP="008117BF">
      <w:pPr>
        <w:jc w:val="center"/>
        <w:rPr>
          <w:rFonts w:cs="Simplified Arabic"/>
          <w:b/>
          <w:bCs/>
          <w:color w:val="000000" w:themeColor="text1"/>
          <w:sz w:val="22"/>
          <w:szCs w:val="22"/>
          <w:rtl/>
        </w:rPr>
      </w:pPr>
      <w:r w:rsidRPr="00165FD2">
        <w:rPr>
          <w:rFonts w:cs="Simplified Arabic" w:hint="cs"/>
          <w:b/>
          <w:bCs/>
          <w:color w:val="000000" w:themeColor="text1"/>
          <w:sz w:val="22"/>
          <w:szCs w:val="22"/>
          <w:rtl/>
        </w:rPr>
        <w:t>جدول</w:t>
      </w:r>
      <w:r w:rsidR="00CF02CC">
        <w:rPr>
          <w:rFonts w:cs="Simplified Arabic" w:hint="cs"/>
          <w:b/>
          <w:bCs/>
          <w:color w:val="000000" w:themeColor="text1"/>
          <w:sz w:val="22"/>
          <w:szCs w:val="22"/>
          <w:rtl/>
        </w:rPr>
        <w:t xml:space="preserve"> </w:t>
      </w:r>
      <w:r w:rsidRPr="00165FD2">
        <w:rPr>
          <w:rFonts w:cs="Simplified Arabic" w:hint="cs"/>
          <w:b/>
          <w:bCs/>
          <w:color w:val="000000" w:themeColor="text1"/>
          <w:sz w:val="22"/>
          <w:szCs w:val="22"/>
          <w:rtl/>
        </w:rPr>
        <w:t>4: نسبة التغير في أعداد العاملين حسب النشاط الاقتصادي</w:t>
      </w:r>
      <w:r w:rsidR="005D630D">
        <w:rPr>
          <w:rFonts w:cs="Simplified Arabic" w:hint="cs"/>
          <w:b/>
          <w:bCs/>
          <w:color w:val="000000" w:themeColor="text1"/>
          <w:sz w:val="22"/>
          <w:szCs w:val="22"/>
          <w:rtl/>
        </w:rPr>
        <w:t xml:space="preserve"> </w:t>
      </w:r>
      <w:r w:rsidR="005D630D" w:rsidRPr="004F33D8">
        <w:rPr>
          <w:rFonts w:cs="Simplified Arabic" w:hint="cs"/>
          <w:b/>
          <w:bCs/>
          <w:sz w:val="22"/>
          <w:szCs w:val="22"/>
          <w:rtl/>
        </w:rPr>
        <w:t>في الأراضي الفلسطينية</w:t>
      </w:r>
      <w:r w:rsidRPr="00165FD2">
        <w:rPr>
          <w:rFonts w:cs="Simplified Arabic" w:hint="cs"/>
          <w:b/>
          <w:bCs/>
          <w:color w:val="000000" w:themeColor="text1"/>
          <w:sz w:val="22"/>
          <w:szCs w:val="22"/>
          <w:rtl/>
        </w:rPr>
        <w:t>، (2010-2011)</w:t>
      </w:r>
    </w:p>
    <w:tbl>
      <w:tblPr>
        <w:bidiVisual/>
        <w:tblW w:w="9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519"/>
        <w:gridCol w:w="1477"/>
        <w:gridCol w:w="1477"/>
        <w:gridCol w:w="922"/>
        <w:gridCol w:w="1022"/>
        <w:gridCol w:w="922"/>
      </w:tblGrid>
      <w:tr w:rsidR="008117BF" w:rsidRPr="00165FD2" w:rsidTr="00881319">
        <w:trPr>
          <w:cantSplit/>
          <w:trHeight w:val="488"/>
        </w:trPr>
        <w:tc>
          <w:tcPr>
            <w:tcW w:w="3519" w:type="dxa"/>
            <w:vMerge w:val="restart"/>
            <w:tcBorders>
              <w:top w:val="single" w:sz="12" w:space="0" w:color="auto"/>
              <w:left w:val="nil"/>
              <w:bottom w:val="single" w:sz="12" w:space="0" w:color="auto"/>
              <w:right w:val="nil"/>
            </w:tcBorders>
          </w:tcPr>
          <w:p w:rsidR="008117BF" w:rsidRPr="00FB36FA" w:rsidRDefault="008117BF" w:rsidP="00881319">
            <w:pPr>
              <w:rPr>
                <w:rFonts w:ascii="Arial" w:hAnsi="Arial" w:cs="Arial"/>
                <w:color w:val="000000" w:themeColor="text1"/>
                <w:sz w:val="18"/>
                <w:szCs w:val="18"/>
                <w:rtl/>
              </w:rPr>
            </w:pPr>
          </w:p>
          <w:p w:rsidR="008117BF" w:rsidRPr="00FB36FA" w:rsidRDefault="008117BF" w:rsidP="00881319">
            <w:pPr>
              <w:rPr>
                <w:rFonts w:ascii="Arial" w:hAnsi="Arial" w:cs="Arial"/>
                <w:color w:val="000000" w:themeColor="text1"/>
                <w:sz w:val="18"/>
                <w:szCs w:val="18"/>
              </w:rPr>
            </w:pPr>
            <w:r w:rsidRPr="00FB36FA">
              <w:rPr>
                <w:rFonts w:ascii="Arial" w:hAnsi="Arial" w:cs="Arial"/>
                <w:b/>
                <w:bCs/>
                <w:color w:val="000000" w:themeColor="text1"/>
                <w:sz w:val="18"/>
                <w:szCs w:val="18"/>
                <w:rtl/>
              </w:rPr>
              <w:t>النشاط الاقتصادي</w:t>
            </w:r>
          </w:p>
        </w:tc>
        <w:tc>
          <w:tcPr>
            <w:tcW w:w="3875" w:type="dxa"/>
            <w:gridSpan w:val="3"/>
            <w:tcBorders>
              <w:top w:val="single" w:sz="12" w:space="0" w:color="auto"/>
              <w:left w:val="nil"/>
              <w:bottom w:val="single" w:sz="12" w:space="0" w:color="auto"/>
              <w:right w:val="nil"/>
            </w:tcBorders>
            <w:vAlign w:val="center"/>
          </w:tcPr>
          <w:p w:rsidR="008117BF" w:rsidRPr="00FB36FA" w:rsidRDefault="008117BF" w:rsidP="0088131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الأراضي الفلسطينية</w:t>
            </w:r>
          </w:p>
        </w:tc>
        <w:tc>
          <w:tcPr>
            <w:tcW w:w="1022" w:type="dxa"/>
            <w:vMerge w:val="restart"/>
            <w:tcBorders>
              <w:top w:val="single" w:sz="12" w:space="0" w:color="auto"/>
              <w:left w:val="nil"/>
              <w:bottom w:val="single" w:sz="12" w:space="0" w:color="auto"/>
              <w:right w:val="nil"/>
            </w:tcBorders>
            <w:vAlign w:val="center"/>
          </w:tcPr>
          <w:p w:rsidR="008117BF" w:rsidRPr="00FB36FA" w:rsidRDefault="008117BF" w:rsidP="0088131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نسبة التغير في الضفة الغربية</w:t>
            </w:r>
          </w:p>
        </w:tc>
        <w:tc>
          <w:tcPr>
            <w:tcW w:w="922" w:type="dxa"/>
            <w:vMerge w:val="restart"/>
            <w:tcBorders>
              <w:top w:val="single" w:sz="12" w:space="0" w:color="auto"/>
              <w:left w:val="nil"/>
              <w:bottom w:val="single" w:sz="12" w:space="0" w:color="auto"/>
              <w:right w:val="nil"/>
            </w:tcBorders>
            <w:vAlign w:val="center"/>
          </w:tcPr>
          <w:p w:rsidR="008117BF" w:rsidRPr="00FB36FA" w:rsidRDefault="008117BF" w:rsidP="0088131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نسبة التغير في قطاع غزة</w:t>
            </w:r>
          </w:p>
        </w:tc>
      </w:tr>
      <w:tr w:rsidR="008117BF" w:rsidRPr="00165FD2" w:rsidTr="00881319">
        <w:trPr>
          <w:cantSplit/>
          <w:trHeight w:val="545"/>
        </w:trPr>
        <w:tc>
          <w:tcPr>
            <w:tcW w:w="3519" w:type="dxa"/>
            <w:vMerge/>
            <w:tcBorders>
              <w:top w:val="single" w:sz="12" w:space="0" w:color="auto"/>
              <w:left w:val="nil"/>
              <w:bottom w:val="single" w:sz="12" w:space="0" w:color="auto"/>
              <w:right w:val="nil"/>
            </w:tcBorders>
          </w:tcPr>
          <w:p w:rsidR="008117BF" w:rsidRPr="00FB36FA" w:rsidRDefault="008117BF" w:rsidP="00881319">
            <w:pPr>
              <w:jc w:val="center"/>
              <w:rPr>
                <w:rFonts w:ascii="Arial" w:hAnsi="Arial" w:cs="Arial"/>
                <w:b/>
                <w:bCs/>
                <w:color w:val="000000" w:themeColor="text1"/>
                <w:sz w:val="18"/>
                <w:szCs w:val="18"/>
                <w:rtl/>
              </w:rPr>
            </w:pPr>
          </w:p>
        </w:tc>
        <w:tc>
          <w:tcPr>
            <w:tcW w:w="1477" w:type="dxa"/>
            <w:tcBorders>
              <w:top w:val="single" w:sz="12" w:space="0" w:color="auto"/>
              <w:left w:val="nil"/>
              <w:bottom w:val="single" w:sz="12" w:space="0" w:color="auto"/>
              <w:right w:val="nil"/>
            </w:tcBorders>
            <w:vAlign w:val="center"/>
          </w:tcPr>
          <w:p w:rsidR="008117BF" w:rsidRPr="00FB36FA" w:rsidRDefault="008117BF" w:rsidP="0088131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عدد العاملين 2010</w:t>
            </w:r>
          </w:p>
        </w:tc>
        <w:tc>
          <w:tcPr>
            <w:tcW w:w="1477" w:type="dxa"/>
            <w:tcBorders>
              <w:top w:val="single" w:sz="12" w:space="0" w:color="auto"/>
              <w:left w:val="nil"/>
              <w:bottom w:val="single" w:sz="12" w:space="0" w:color="auto"/>
              <w:right w:val="nil"/>
            </w:tcBorders>
            <w:vAlign w:val="center"/>
          </w:tcPr>
          <w:p w:rsidR="008117BF" w:rsidRPr="00FB36FA" w:rsidRDefault="008117BF" w:rsidP="0088131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عدد العاملين 2011</w:t>
            </w:r>
          </w:p>
        </w:tc>
        <w:tc>
          <w:tcPr>
            <w:tcW w:w="922" w:type="dxa"/>
            <w:tcBorders>
              <w:top w:val="single" w:sz="12" w:space="0" w:color="auto"/>
              <w:left w:val="nil"/>
              <w:bottom w:val="single" w:sz="12" w:space="0" w:color="auto"/>
              <w:right w:val="nil"/>
            </w:tcBorders>
            <w:vAlign w:val="center"/>
          </w:tcPr>
          <w:p w:rsidR="008117BF" w:rsidRPr="00FB36FA" w:rsidRDefault="008117BF" w:rsidP="0088131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نسبة التغير</w:t>
            </w:r>
          </w:p>
        </w:tc>
        <w:tc>
          <w:tcPr>
            <w:tcW w:w="1022" w:type="dxa"/>
            <w:vMerge/>
            <w:tcBorders>
              <w:top w:val="single" w:sz="12" w:space="0" w:color="auto"/>
              <w:left w:val="nil"/>
              <w:bottom w:val="single" w:sz="12" w:space="0" w:color="auto"/>
              <w:right w:val="nil"/>
            </w:tcBorders>
          </w:tcPr>
          <w:p w:rsidR="008117BF" w:rsidRPr="00FB36FA" w:rsidRDefault="008117BF" w:rsidP="00881319">
            <w:pPr>
              <w:jc w:val="center"/>
              <w:rPr>
                <w:rFonts w:ascii="Arial" w:hAnsi="Arial" w:cs="Arial"/>
                <w:b/>
                <w:bCs/>
                <w:color w:val="000000" w:themeColor="text1"/>
                <w:sz w:val="18"/>
                <w:szCs w:val="18"/>
              </w:rPr>
            </w:pPr>
          </w:p>
        </w:tc>
        <w:tc>
          <w:tcPr>
            <w:tcW w:w="922" w:type="dxa"/>
            <w:vMerge/>
            <w:tcBorders>
              <w:top w:val="single" w:sz="12" w:space="0" w:color="auto"/>
              <w:left w:val="nil"/>
              <w:bottom w:val="single" w:sz="12" w:space="0" w:color="auto"/>
              <w:right w:val="nil"/>
            </w:tcBorders>
          </w:tcPr>
          <w:p w:rsidR="008117BF" w:rsidRPr="00FB36FA" w:rsidRDefault="008117BF" w:rsidP="00881319">
            <w:pPr>
              <w:jc w:val="center"/>
              <w:rPr>
                <w:rFonts w:ascii="Arial" w:hAnsi="Arial" w:cs="Arial"/>
                <w:b/>
                <w:bCs/>
                <w:color w:val="000000" w:themeColor="text1"/>
                <w:sz w:val="18"/>
                <w:szCs w:val="18"/>
              </w:rPr>
            </w:pPr>
          </w:p>
        </w:tc>
      </w:tr>
      <w:tr w:rsidR="008117BF" w:rsidRPr="00165FD2" w:rsidTr="00881319">
        <w:trPr>
          <w:trHeight w:val="285"/>
        </w:trPr>
        <w:tc>
          <w:tcPr>
            <w:tcW w:w="3519" w:type="dxa"/>
            <w:tcBorders>
              <w:top w:val="single" w:sz="12" w:space="0" w:color="auto"/>
              <w:left w:val="nil"/>
              <w:bottom w:val="nil"/>
              <w:right w:val="nil"/>
            </w:tcBorders>
            <w:vAlign w:val="center"/>
          </w:tcPr>
          <w:p w:rsidR="008117BF" w:rsidRPr="00FB36FA" w:rsidRDefault="008117BF" w:rsidP="00881319">
            <w:pPr>
              <w:bidi w:val="0"/>
              <w:jc w:val="right"/>
              <w:rPr>
                <w:rFonts w:ascii="Arial" w:hAnsi="Arial" w:cs="Arial"/>
                <w:snapToGrid w:val="0"/>
                <w:color w:val="000000" w:themeColor="text1"/>
                <w:sz w:val="18"/>
                <w:szCs w:val="18"/>
              </w:rPr>
            </w:pPr>
            <w:r w:rsidRPr="00FB36FA">
              <w:rPr>
                <w:rFonts w:ascii="Arial" w:hAnsi="Arial" w:cs="Arial"/>
                <w:snapToGrid w:val="0"/>
                <w:color w:val="000000" w:themeColor="text1"/>
                <w:sz w:val="18"/>
                <w:szCs w:val="18"/>
                <w:rtl/>
              </w:rPr>
              <w:t xml:space="preserve">الزراعة </w:t>
            </w:r>
            <w:proofErr w:type="spellStart"/>
            <w:r w:rsidRPr="00FB36FA">
              <w:rPr>
                <w:rFonts w:ascii="Arial" w:hAnsi="Arial" w:cs="Arial"/>
                <w:snapToGrid w:val="0"/>
                <w:color w:val="000000" w:themeColor="text1"/>
                <w:sz w:val="18"/>
                <w:szCs w:val="18"/>
                <w:rtl/>
              </w:rPr>
              <w:t>والحراجة</w:t>
            </w:r>
            <w:proofErr w:type="spellEnd"/>
            <w:r w:rsidRPr="00FB36FA">
              <w:rPr>
                <w:rFonts w:ascii="Arial" w:hAnsi="Arial" w:cs="Arial"/>
                <w:snapToGrid w:val="0"/>
                <w:color w:val="000000" w:themeColor="text1"/>
                <w:sz w:val="18"/>
                <w:szCs w:val="18"/>
                <w:rtl/>
              </w:rPr>
              <w:t xml:space="preserve"> وصيد الأسماك</w:t>
            </w:r>
          </w:p>
        </w:tc>
        <w:tc>
          <w:tcPr>
            <w:tcW w:w="1477" w:type="dxa"/>
            <w:tcBorders>
              <w:top w:val="single" w:sz="12" w:space="0" w:color="auto"/>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tl/>
              </w:rPr>
              <w:t>87</w:t>
            </w:r>
            <w:r w:rsidRPr="00FB36FA">
              <w:rPr>
                <w:rFonts w:ascii="Arial" w:hAnsi="Arial" w:cs="Arial"/>
                <w:color w:val="000000" w:themeColor="text1"/>
                <w:sz w:val="18"/>
                <w:szCs w:val="18"/>
              </w:rPr>
              <w:t>,</w:t>
            </w:r>
            <w:r w:rsidRPr="00FB36FA">
              <w:rPr>
                <w:rFonts w:ascii="Arial" w:hAnsi="Arial" w:cs="Arial"/>
                <w:color w:val="000000" w:themeColor="text1"/>
                <w:sz w:val="18"/>
                <w:szCs w:val="18"/>
                <w:rtl/>
              </w:rPr>
              <w:t>8</w:t>
            </w:r>
            <w:r w:rsidRPr="00FB36FA">
              <w:rPr>
                <w:rFonts w:ascii="Arial" w:hAnsi="Arial" w:cs="Arial"/>
                <w:color w:val="000000" w:themeColor="text1"/>
                <w:sz w:val="18"/>
                <w:szCs w:val="18"/>
              </w:rPr>
              <w:t>00</w:t>
            </w:r>
          </w:p>
        </w:tc>
        <w:tc>
          <w:tcPr>
            <w:tcW w:w="1477" w:type="dxa"/>
            <w:tcBorders>
              <w:top w:val="single" w:sz="12" w:space="0" w:color="auto"/>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99,400</w:t>
            </w:r>
          </w:p>
        </w:tc>
        <w:tc>
          <w:tcPr>
            <w:tcW w:w="922" w:type="dxa"/>
            <w:tcBorders>
              <w:top w:val="single" w:sz="12" w:space="0" w:color="auto"/>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13.2</w:t>
            </w:r>
          </w:p>
        </w:tc>
        <w:tc>
          <w:tcPr>
            <w:tcW w:w="1022" w:type="dxa"/>
            <w:tcBorders>
              <w:top w:val="single" w:sz="12" w:space="0" w:color="auto"/>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4.3</w:t>
            </w:r>
          </w:p>
        </w:tc>
        <w:tc>
          <w:tcPr>
            <w:tcW w:w="922" w:type="dxa"/>
            <w:tcBorders>
              <w:top w:val="single" w:sz="12" w:space="0" w:color="auto"/>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57.0</w:t>
            </w:r>
          </w:p>
        </w:tc>
      </w:tr>
      <w:tr w:rsidR="008117BF" w:rsidRPr="00165FD2" w:rsidTr="00881319">
        <w:trPr>
          <w:trHeight w:val="285"/>
        </w:trPr>
        <w:tc>
          <w:tcPr>
            <w:tcW w:w="3519" w:type="dxa"/>
            <w:tcBorders>
              <w:top w:val="nil"/>
              <w:left w:val="nil"/>
              <w:bottom w:val="nil"/>
              <w:right w:val="nil"/>
            </w:tcBorders>
            <w:vAlign w:val="center"/>
          </w:tcPr>
          <w:p w:rsidR="008117BF" w:rsidRPr="00FB36FA" w:rsidRDefault="008117BF" w:rsidP="00881319">
            <w:pPr>
              <w:bidi w:val="0"/>
              <w:jc w:val="right"/>
              <w:rPr>
                <w:rFonts w:ascii="Arial" w:hAnsi="Arial" w:cs="Arial"/>
                <w:color w:val="000000" w:themeColor="text1"/>
                <w:sz w:val="18"/>
                <w:szCs w:val="18"/>
              </w:rPr>
            </w:pPr>
            <w:r w:rsidRPr="00FB36FA">
              <w:rPr>
                <w:rFonts w:ascii="Arial" w:hAnsi="Arial" w:cs="Arial"/>
                <w:color w:val="000000" w:themeColor="text1"/>
                <w:sz w:val="18"/>
                <w:szCs w:val="18"/>
                <w:rtl/>
              </w:rPr>
              <w:t>التعدين والمحاجر والصناعة التحويلية</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tl/>
              </w:rPr>
              <w:t>84</w:t>
            </w:r>
            <w:r w:rsidRPr="00FB36FA">
              <w:rPr>
                <w:rFonts w:ascii="Arial" w:hAnsi="Arial" w:cs="Arial"/>
                <w:color w:val="000000" w:themeColor="text1"/>
                <w:sz w:val="18"/>
                <w:szCs w:val="18"/>
              </w:rPr>
              <w:t>,800</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98,700</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16.4</w:t>
            </w:r>
          </w:p>
        </w:tc>
        <w:tc>
          <w:tcPr>
            <w:tcW w:w="10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13.0</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43.6</w:t>
            </w:r>
          </w:p>
        </w:tc>
      </w:tr>
      <w:tr w:rsidR="008117BF" w:rsidRPr="00165FD2" w:rsidTr="00881319">
        <w:trPr>
          <w:trHeight w:val="265"/>
        </w:trPr>
        <w:tc>
          <w:tcPr>
            <w:tcW w:w="3519" w:type="dxa"/>
            <w:tcBorders>
              <w:top w:val="nil"/>
              <w:left w:val="nil"/>
              <w:bottom w:val="nil"/>
              <w:right w:val="nil"/>
            </w:tcBorders>
            <w:vAlign w:val="center"/>
          </w:tcPr>
          <w:p w:rsidR="008117BF" w:rsidRPr="00FB36FA" w:rsidRDefault="008117BF" w:rsidP="00881319">
            <w:pPr>
              <w:bidi w:val="0"/>
              <w:jc w:val="right"/>
              <w:rPr>
                <w:rFonts w:ascii="Arial" w:hAnsi="Arial" w:cs="Arial"/>
                <w:color w:val="000000" w:themeColor="text1"/>
                <w:sz w:val="18"/>
                <w:szCs w:val="18"/>
              </w:rPr>
            </w:pPr>
            <w:r w:rsidRPr="00FB36FA">
              <w:rPr>
                <w:rFonts w:ascii="Arial" w:hAnsi="Arial" w:cs="Arial"/>
                <w:color w:val="000000" w:themeColor="text1"/>
                <w:sz w:val="18"/>
                <w:szCs w:val="18"/>
                <w:rtl/>
              </w:rPr>
              <w:t>البناء والتشييد</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tl/>
              </w:rPr>
              <w:t>98</w:t>
            </w:r>
            <w:r w:rsidRPr="00FB36FA">
              <w:rPr>
                <w:rFonts w:ascii="Arial" w:hAnsi="Arial" w:cs="Arial"/>
                <w:color w:val="000000" w:themeColor="text1"/>
                <w:sz w:val="18"/>
                <w:szCs w:val="18"/>
              </w:rPr>
              <w:t>,200</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116,200</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18.3</w:t>
            </w:r>
          </w:p>
        </w:tc>
        <w:tc>
          <w:tcPr>
            <w:tcW w:w="10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9.9</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154.4</w:t>
            </w:r>
          </w:p>
        </w:tc>
      </w:tr>
      <w:tr w:rsidR="008117BF" w:rsidRPr="00165FD2" w:rsidTr="00881319">
        <w:trPr>
          <w:trHeight w:val="285"/>
        </w:trPr>
        <w:tc>
          <w:tcPr>
            <w:tcW w:w="3519" w:type="dxa"/>
            <w:tcBorders>
              <w:top w:val="nil"/>
              <w:left w:val="nil"/>
              <w:bottom w:val="nil"/>
              <w:right w:val="nil"/>
            </w:tcBorders>
            <w:vAlign w:val="center"/>
          </w:tcPr>
          <w:p w:rsidR="008117BF" w:rsidRPr="00FB36FA" w:rsidRDefault="008117BF" w:rsidP="00881319">
            <w:pPr>
              <w:bidi w:val="0"/>
              <w:jc w:val="right"/>
              <w:rPr>
                <w:rFonts w:ascii="Arial" w:hAnsi="Arial" w:cs="Arial"/>
                <w:color w:val="000000" w:themeColor="text1"/>
                <w:sz w:val="18"/>
                <w:szCs w:val="18"/>
              </w:rPr>
            </w:pPr>
            <w:r w:rsidRPr="00FB36FA">
              <w:rPr>
                <w:rFonts w:ascii="Arial" w:hAnsi="Arial" w:cs="Arial"/>
                <w:color w:val="000000" w:themeColor="text1"/>
                <w:sz w:val="18"/>
                <w:szCs w:val="18"/>
                <w:rtl/>
              </w:rPr>
              <w:t>التجارة والمطاعم والفنادق</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tl/>
              </w:rPr>
              <w:t>143</w:t>
            </w:r>
            <w:r w:rsidRPr="00FB36FA">
              <w:rPr>
                <w:rFonts w:ascii="Arial" w:hAnsi="Arial" w:cs="Arial"/>
                <w:color w:val="000000" w:themeColor="text1"/>
                <w:sz w:val="18"/>
                <w:szCs w:val="18"/>
              </w:rPr>
              <w:t>,</w:t>
            </w:r>
            <w:r w:rsidRPr="00FB36FA">
              <w:rPr>
                <w:rFonts w:ascii="Arial" w:hAnsi="Arial" w:cs="Arial"/>
                <w:color w:val="000000" w:themeColor="text1"/>
                <w:sz w:val="18"/>
                <w:szCs w:val="18"/>
                <w:rtl/>
              </w:rPr>
              <w:t>5</w:t>
            </w:r>
            <w:r w:rsidRPr="00FB36FA">
              <w:rPr>
                <w:rFonts w:ascii="Arial" w:hAnsi="Arial" w:cs="Arial"/>
                <w:color w:val="000000" w:themeColor="text1"/>
                <w:sz w:val="18"/>
                <w:szCs w:val="18"/>
              </w:rPr>
              <w:t>00</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170,100</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18.5</w:t>
            </w:r>
          </w:p>
        </w:tc>
        <w:tc>
          <w:tcPr>
            <w:tcW w:w="10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13.7</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34.4</w:t>
            </w:r>
          </w:p>
        </w:tc>
      </w:tr>
      <w:tr w:rsidR="008117BF" w:rsidRPr="00165FD2" w:rsidTr="00881319">
        <w:trPr>
          <w:trHeight w:val="285"/>
        </w:trPr>
        <w:tc>
          <w:tcPr>
            <w:tcW w:w="3519" w:type="dxa"/>
            <w:tcBorders>
              <w:top w:val="nil"/>
              <w:left w:val="nil"/>
              <w:bottom w:val="nil"/>
              <w:right w:val="nil"/>
            </w:tcBorders>
            <w:vAlign w:val="center"/>
          </w:tcPr>
          <w:p w:rsidR="008117BF" w:rsidRPr="00FB36FA" w:rsidRDefault="008117BF" w:rsidP="00881319">
            <w:pPr>
              <w:bidi w:val="0"/>
              <w:jc w:val="right"/>
              <w:rPr>
                <w:rFonts w:ascii="Arial" w:hAnsi="Arial" w:cs="Arial"/>
                <w:snapToGrid w:val="0"/>
                <w:color w:val="000000" w:themeColor="text1"/>
                <w:sz w:val="18"/>
                <w:szCs w:val="18"/>
              </w:rPr>
            </w:pPr>
            <w:r w:rsidRPr="00FB36FA">
              <w:rPr>
                <w:rFonts w:ascii="Arial" w:hAnsi="Arial" w:cs="Arial"/>
                <w:snapToGrid w:val="0"/>
                <w:color w:val="000000" w:themeColor="text1"/>
                <w:sz w:val="18"/>
                <w:szCs w:val="18"/>
                <w:rtl/>
              </w:rPr>
              <w:t>النقل والتخزين والاتصالات</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tl/>
              </w:rPr>
              <w:t>44</w:t>
            </w:r>
            <w:r w:rsidRPr="00FB36FA">
              <w:rPr>
                <w:rFonts w:ascii="Arial" w:hAnsi="Arial" w:cs="Arial"/>
                <w:color w:val="000000" w:themeColor="text1"/>
                <w:sz w:val="18"/>
                <w:szCs w:val="18"/>
              </w:rPr>
              <w:t>,</w:t>
            </w:r>
            <w:r w:rsidRPr="00FB36FA">
              <w:rPr>
                <w:rFonts w:ascii="Arial" w:hAnsi="Arial" w:cs="Arial"/>
                <w:color w:val="000000" w:themeColor="text1"/>
                <w:sz w:val="18"/>
                <w:szCs w:val="18"/>
                <w:rtl/>
              </w:rPr>
              <w:t>4</w:t>
            </w:r>
            <w:r w:rsidRPr="00FB36FA">
              <w:rPr>
                <w:rFonts w:ascii="Arial" w:hAnsi="Arial" w:cs="Arial"/>
                <w:color w:val="000000" w:themeColor="text1"/>
                <w:sz w:val="18"/>
                <w:szCs w:val="18"/>
              </w:rPr>
              <w:t>00</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51,200</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15.3</w:t>
            </w:r>
          </w:p>
        </w:tc>
        <w:tc>
          <w:tcPr>
            <w:tcW w:w="10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3.8</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43.8</w:t>
            </w:r>
          </w:p>
        </w:tc>
      </w:tr>
      <w:tr w:rsidR="008117BF" w:rsidRPr="00165FD2" w:rsidTr="00881319">
        <w:trPr>
          <w:trHeight w:val="285"/>
        </w:trPr>
        <w:tc>
          <w:tcPr>
            <w:tcW w:w="3519" w:type="dxa"/>
            <w:tcBorders>
              <w:top w:val="nil"/>
              <w:left w:val="nil"/>
              <w:bottom w:val="nil"/>
              <w:right w:val="nil"/>
            </w:tcBorders>
            <w:vAlign w:val="center"/>
          </w:tcPr>
          <w:p w:rsidR="008117BF" w:rsidRPr="00FB36FA" w:rsidRDefault="008117BF" w:rsidP="00881319">
            <w:pPr>
              <w:bidi w:val="0"/>
              <w:jc w:val="right"/>
              <w:rPr>
                <w:rFonts w:ascii="Arial" w:hAnsi="Arial" w:cs="Arial"/>
                <w:color w:val="000000" w:themeColor="text1"/>
                <w:sz w:val="18"/>
                <w:szCs w:val="18"/>
              </w:rPr>
            </w:pPr>
            <w:r w:rsidRPr="00FB36FA">
              <w:rPr>
                <w:rFonts w:ascii="Arial" w:hAnsi="Arial" w:cs="Arial"/>
                <w:color w:val="000000" w:themeColor="text1"/>
                <w:sz w:val="18"/>
                <w:szCs w:val="18"/>
                <w:rtl/>
              </w:rPr>
              <w:t>الخدمات والفروع الأخرى</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tl/>
              </w:rPr>
              <w:t>285</w:t>
            </w:r>
            <w:r w:rsidRPr="00FB36FA">
              <w:rPr>
                <w:rFonts w:ascii="Arial" w:hAnsi="Arial" w:cs="Arial"/>
                <w:color w:val="000000" w:themeColor="text1"/>
                <w:sz w:val="18"/>
                <w:szCs w:val="18"/>
              </w:rPr>
              <w:t>,300</w:t>
            </w:r>
          </w:p>
        </w:tc>
        <w:tc>
          <w:tcPr>
            <w:tcW w:w="1477"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301,800</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5.8</w:t>
            </w:r>
          </w:p>
        </w:tc>
        <w:tc>
          <w:tcPr>
            <w:tcW w:w="10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2.8</w:t>
            </w:r>
          </w:p>
        </w:tc>
        <w:tc>
          <w:tcPr>
            <w:tcW w:w="922" w:type="dxa"/>
            <w:tcBorders>
              <w:top w:val="nil"/>
              <w:left w:val="nil"/>
              <w:bottom w:val="nil"/>
              <w:right w:val="nil"/>
            </w:tcBorders>
            <w:vAlign w:val="center"/>
          </w:tcPr>
          <w:p w:rsidR="008117BF" w:rsidRPr="00FB36FA" w:rsidRDefault="008117BF" w:rsidP="00881319">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10.1</w:t>
            </w:r>
          </w:p>
        </w:tc>
      </w:tr>
      <w:tr w:rsidR="008117BF" w:rsidRPr="00165FD2" w:rsidTr="00881319">
        <w:trPr>
          <w:trHeight w:val="108"/>
        </w:trPr>
        <w:tc>
          <w:tcPr>
            <w:tcW w:w="3519" w:type="dxa"/>
            <w:tcBorders>
              <w:top w:val="nil"/>
              <w:left w:val="nil"/>
              <w:bottom w:val="single" w:sz="12" w:space="0" w:color="auto"/>
              <w:right w:val="nil"/>
            </w:tcBorders>
            <w:vAlign w:val="center"/>
          </w:tcPr>
          <w:p w:rsidR="008117BF" w:rsidRPr="00FB36FA" w:rsidRDefault="008117BF" w:rsidP="00881319">
            <w:pPr>
              <w:bidi w:val="0"/>
              <w:jc w:val="right"/>
              <w:rPr>
                <w:rFonts w:ascii="Arial" w:hAnsi="Arial" w:cs="Arial"/>
                <w:b/>
                <w:bCs/>
                <w:color w:val="000000" w:themeColor="text1"/>
                <w:sz w:val="18"/>
                <w:szCs w:val="18"/>
              </w:rPr>
            </w:pPr>
            <w:r w:rsidRPr="00FB36FA">
              <w:rPr>
                <w:rFonts w:ascii="Arial" w:hAnsi="Arial" w:cs="Arial"/>
                <w:b/>
                <w:bCs/>
                <w:color w:val="000000" w:themeColor="text1"/>
                <w:sz w:val="18"/>
                <w:szCs w:val="18"/>
                <w:rtl/>
              </w:rPr>
              <w:t>المجموع</w:t>
            </w:r>
          </w:p>
        </w:tc>
        <w:tc>
          <w:tcPr>
            <w:tcW w:w="1477" w:type="dxa"/>
            <w:tcBorders>
              <w:top w:val="nil"/>
              <w:left w:val="nil"/>
              <w:bottom w:val="single" w:sz="12" w:space="0" w:color="auto"/>
              <w:right w:val="nil"/>
            </w:tcBorders>
            <w:vAlign w:val="center"/>
          </w:tcPr>
          <w:p w:rsidR="008117BF" w:rsidRPr="00FB36FA" w:rsidRDefault="008117BF" w:rsidP="00881319">
            <w:pPr>
              <w:bidi w:val="0"/>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744</w:t>
            </w:r>
            <w:r w:rsidRPr="00FB36FA">
              <w:rPr>
                <w:rFonts w:ascii="Arial" w:hAnsi="Arial" w:cs="Arial"/>
                <w:b/>
                <w:bCs/>
                <w:color w:val="000000" w:themeColor="text1"/>
                <w:sz w:val="18"/>
                <w:szCs w:val="18"/>
              </w:rPr>
              <w:t>,</w:t>
            </w:r>
            <w:r w:rsidRPr="00FB36FA">
              <w:rPr>
                <w:rFonts w:ascii="Arial" w:hAnsi="Arial" w:cs="Arial"/>
                <w:b/>
                <w:bCs/>
                <w:color w:val="000000" w:themeColor="text1"/>
                <w:sz w:val="18"/>
                <w:szCs w:val="18"/>
                <w:rtl/>
              </w:rPr>
              <w:t>0</w:t>
            </w:r>
            <w:r w:rsidRPr="00FB36FA">
              <w:rPr>
                <w:rFonts w:ascii="Arial" w:hAnsi="Arial" w:cs="Arial"/>
                <w:b/>
                <w:bCs/>
                <w:color w:val="000000" w:themeColor="text1"/>
                <w:sz w:val="18"/>
                <w:szCs w:val="18"/>
              </w:rPr>
              <w:t>00</w:t>
            </w:r>
          </w:p>
        </w:tc>
        <w:tc>
          <w:tcPr>
            <w:tcW w:w="1477" w:type="dxa"/>
            <w:tcBorders>
              <w:top w:val="nil"/>
              <w:left w:val="nil"/>
              <w:bottom w:val="single" w:sz="12" w:space="0" w:color="auto"/>
              <w:right w:val="nil"/>
            </w:tcBorders>
            <w:vAlign w:val="center"/>
          </w:tcPr>
          <w:p w:rsidR="008117BF" w:rsidRPr="00FB36FA" w:rsidRDefault="008117BF" w:rsidP="00881319">
            <w:pPr>
              <w:bidi w:val="0"/>
              <w:jc w:val="center"/>
              <w:rPr>
                <w:rFonts w:ascii="Arial" w:hAnsi="Arial" w:cs="Arial"/>
                <w:b/>
                <w:bCs/>
                <w:color w:val="000000" w:themeColor="text1"/>
                <w:sz w:val="18"/>
                <w:szCs w:val="18"/>
              </w:rPr>
            </w:pPr>
            <w:r w:rsidRPr="00FB36FA">
              <w:rPr>
                <w:rFonts w:ascii="Arial" w:hAnsi="Arial" w:cs="Arial"/>
                <w:b/>
                <w:bCs/>
                <w:color w:val="000000" w:themeColor="text1"/>
                <w:sz w:val="18"/>
                <w:szCs w:val="18"/>
              </w:rPr>
              <w:t>837,400</w:t>
            </w:r>
          </w:p>
        </w:tc>
        <w:tc>
          <w:tcPr>
            <w:tcW w:w="922" w:type="dxa"/>
            <w:tcBorders>
              <w:top w:val="nil"/>
              <w:left w:val="nil"/>
              <w:bottom w:val="single" w:sz="12" w:space="0" w:color="auto"/>
              <w:right w:val="nil"/>
            </w:tcBorders>
            <w:vAlign w:val="center"/>
          </w:tcPr>
          <w:p w:rsidR="008117BF" w:rsidRPr="00FB36FA" w:rsidRDefault="008117BF" w:rsidP="00881319">
            <w:pPr>
              <w:bidi w:val="0"/>
              <w:jc w:val="center"/>
              <w:rPr>
                <w:rFonts w:ascii="Arial" w:hAnsi="Arial" w:cs="Arial"/>
                <w:b/>
                <w:bCs/>
                <w:color w:val="000000" w:themeColor="text1"/>
                <w:sz w:val="18"/>
                <w:szCs w:val="18"/>
              </w:rPr>
            </w:pPr>
            <w:r w:rsidRPr="00FB36FA">
              <w:rPr>
                <w:rFonts w:ascii="Arial" w:hAnsi="Arial" w:cs="Arial"/>
                <w:b/>
                <w:bCs/>
                <w:color w:val="000000" w:themeColor="text1"/>
                <w:sz w:val="18"/>
                <w:szCs w:val="18"/>
              </w:rPr>
              <w:t>12.6</w:t>
            </w:r>
          </w:p>
        </w:tc>
        <w:tc>
          <w:tcPr>
            <w:tcW w:w="1022" w:type="dxa"/>
            <w:tcBorders>
              <w:top w:val="nil"/>
              <w:left w:val="nil"/>
              <w:bottom w:val="single" w:sz="12" w:space="0" w:color="auto"/>
              <w:right w:val="nil"/>
            </w:tcBorders>
            <w:vAlign w:val="center"/>
          </w:tcPr>
          <w:p w:rsidR="008117BF" w:rsidRPr="00FB36FA" w:rsidRDefault="008117BF" w:rsidP="00881319">
            <w:pPr>
              <w:bidi w:val="0"/>
              <w:jc w:val="center"/>
              <w:rPr>
                <w:rFonts w:ascii="Arial" w:hAnsi="Arial" w:cs="Arial"/>
                <w:b/>
                <w:bCs/>
                <w:color w:val="000000" w:themeColor="text1"/>
                <w:sz w:val="18"/>
                <w:szCs w:val="18"/>
              </w:rPr>
            </w:pPr>
            <w:r w:rsidRPr="00FB36FA">
              <w:rPr>
                <w:rFonts w:ascii="Arial" w:hAnsi="Arial" w:cs="Arial"/>
                <w:b/>
                <w:bCs/>
                <w:color w:val="000000" w:themeColor="text1"/>
                <w:sz w:val="18"/>
                <w:szCs w:val="18"/>
              </w:rPr>
              <w:t>7.8</w:t>
            </w:r>
          </w:p>
        </w:tc>
        <w:tc>
          <w:tcPr>
            <w:tcW w:w="922" w:type="dxa"/>
            <w:tcBorders>
              <w:top w:val="nil"/>
              <w:left w:val="nil"/>
              <w:bottom w:val="single" w:sz="12" w:space="0" w:color="auto"/>
              <w:right w:val="nil"/>
            </w:tcBorders>
            <w:vAlign w:val="center"/>
          </w:tcPr>
          <w:p w:rsidR="008117BF" w:rsidRPr="00FB36FA" w:rsidRDefault="008117BF" w:rsidP="00881319">
            <w:pPr>
              <w:bidi w:val="0"/>
              <w:jc w:val="center"/>
              <w:rPr>
                <w:rFonts w:ascii="Arial" w:hAnsi="Arial" w:cs="Arial"/>
                <w:b/>
                <w:bCs/>
                <w:color w:val="000000" w:themeColor="text1"/>
                <w:sz w:val="18"/>
                <w:szCs w:val="18"/>
              </w:rPr>
            </w:pPr>
            <w:r w:rsidRPr="00FB36FA">
              <w:rPr>
                <w:rFonts w:ascii="Arial" w:hAnsi="Arial" w:cs="Arial"/>
                <w:b/>
                <w:bCs/>
                <w:color w:val="000000" w:themeColor="text1"/>
                <w:sz w:val="18"/>
                <w:szCs w:val="18"/>
              </w:rPr>
              <w:t>26.0</w:t>
            </w:r>
          </w:p>
        </w:tc>
      </w:tr>
    </w:tbl>
    <w:p w:rsidR="008117BF" w:rsidRPr="00165FD2" w:rsidRDefault="008117BF" w:rsidP="008117BF">
      <w:pPr>
        <w:jc w:val="lowKashida"/>
        <w:rPr>
          <w:rFonts w:cs="Simplified Arabic"/>
          <w:color w:val="000000" w:themeColor="text1"/>
          <w:rtl/>
        </w:rPr>
      </w:pPr>
    </w:p>
    <w:p w:rsidR="002D3645" w:rsidRPr="00165FD2" w:rsidRDefault="00476EDC" w:rsidP="005069DB">
      <w:pPr>
        <w:spacing w:before="240"/>
        <w:jc w:val="both"/>
        <w:rPr>
          <w:rFonts w:cs="Simplified Arabic"/>
          <w:color w:val="000000" w:themeColor="text1"/>
          <w:rtl/>
        </w:rPr>
      </w:pPr>
      <w:r>
        <w:rPr>
          <w:rFonts w:cs="Simplified Arabic" w:hint="cs"/>
          <w:b/>
          <w:bCs/>
          <w:color w:val="000000" w:themeColor="text1"/>
          <w:rtl/>
        </w:rPr>
        <w:lastRenderedPageBreak/>
        <w:t>في</w:t>
      </w:r>
      <w:r w:rsidR="002D3645" w:rsidRPr="002D3645">
        <w:rPr>
          <w:rFonts w:cs="Simplified Arabic" w:hint="cs"/>
          <w:b/>
          <w:bCs/>
          <w:color w:val="000000" w:themeColor="text1"/>
          <w:rtl/>
        </w:rPr>
        <w:t xml:space="preserve"> الضفة الغربية</w:t>
      </w:r>
      <w:r>
        <w:rPr>
          <w:rFonts w:cs="Simplified Arabic" w:hint="cs"/>
          <w:b/>
          <w:bCs/>
          <w:color w:val="000000" w:themeColor="text1"/>
          <w:rtl/>
        </w:rPr>
        <w:t>،</w:t>
      </w:r>
      <w:r w:rsidR="002D3645" w:rsidRPr="002D3645">
        <w:rPr>
          <w:rFonts w:cs="Simplified Arabic" w:hint="cs"/>
          <w:b/>
          <w:bCs/>
          <w:color w:val="000000" w:themeColor="text1"/>
          <w:rtl/>
        </w:rPr>
        <w:t xml:space="preserve"> حقق نشاط التجارة والمطاعم والفنادق أعلى نسبة نمو خلال عام 2011 بواقع 13.7% تلاه نشاط التعدين والصناعة التحويلية</w:t>
      </w:r>
      <w:r>
        <w:rPr>
          <w:rFonts w:cs="Simplified Arabic" w:hint="cs"/>
          <w:b/>
          <w:bCs/>
          <w:color w:val="000000" w:themeColor="text1"/>
          <w:rtl/>
        </w:rPr>
        <w:t xml:space="preserve"> بنسبة 13</w:t>
      </w:r>
      <w:r w:rsidR="00B77000">
        <w:rPr>
          <w:rFonts w:cs="Simplified Arabic" w:hint="cs"/>
          <w:b/>
          <w:bCs/>
          <w:color w:val="000000" w:themeColor="text1"/>
          <w:rtl/>
        </w:rPr>
        <w:t>.0</w:t>
      </w:r>
      <w:r>
        <w:rPr>
          <w:rFonts w:cs="Simplified Arabic" w:hint="cs"/>
          <w:b/>
          <w:bCs/>
          <w:color w:val="000000" w:themeColor="text1"/>
          <w:rtl/>
        </w:rPr>
        <w:t>%.</w:t>
      </w:r>
      <w:r w:rsidR="002D3645" w:rsidRPr="00165FD2">
        <w:rPr>
          <w:rFonts w:cs="Simplified Arabic" w:hint="cs"/>
          <w:color w:val="000000" w:themeColor="text1"/>
          <w:rtl/>
        </w:rPr>
        <w:t xml:space="preserve"> </w:t>
      </w:r>
      <w:r w:rsidR="002D3645" w:rsidRPr="002D3645">
        <w:rPr>
          <w:rFonts w:cs="Simplified Arabic" w:hint="cs"/>
          <w:b/>
          <w:bCs/>
          <w:color w:val="000000" w:themeColor="text1"/>
          <w:rtl/>
        </w:rPr>
        <w:t>أما قطاع غزة فقد شهد ارتفاعاً حاداً في نشاط الإنشاءات بواقع 154.4% خلال عام 2011،</w:t>
      </w:r>
      <w:r>
        <w:rPr>
          <w:rFonts w:cs="Simplified Arabic" w:hint="cs"/>
          <w:b/>
          <w:bCs/>
          <w:color w:val="000000" w:themeColor="text1"/>
          <w:rtl/>
        </w:rPr>
        <w:t xml:space="preserve"> تلاه نمو الزراعة وصيد الأسماك بنسبة 57</w:t>
      </w:r>
      <w:r w:rsidR="005069DB">
        <w:rPr>
          <w:rFonts w:cs="Simplified Arabic" w:hint="cs"/>
          <w:b/>
          <w:bCs/>
          <w:color w:val="000000" w:themeColor="text1"/>
          <w:rtl/>
        </w:rPr>
        <w:t>.0</w:t>
      </w:r>
      <w:r>
        <w:rPr>
          <w:rFonts w:cs="Simplified Arabic" w:hint="cs"/>
          <w:b/>
          <w:bCs/>
          <w:color w:val="000000" w:themeColor="text1"/>
          <w:rtl/>
        </w:rPr>
        <w:t>%، وقطاعي "النقل والتخزين والاتصالات" و "</w:t>
      </w:r>
      <w:r w:rsidR="005069DB">
        <w:rPr>
          <w:rFonts w:cs="Simplified Arabic" w:hint="cs"/>
          <w:b/>
          <w:bCs/>
          <w:color w:val="000000" w:themeColor="text1"/>
          <w:rtl/>
        </w:rPr>
        <w:t>التعدين والمحاجر والصناعة التحويلية</w:t>
      </w:r>
      <w:r>
        <w:rPr>
          <w:rFonts w:cs="Simplified Arabic" w:hint="cs"/>
          <w:b/>
          <w:bCs/>
          <w:color w:val="000000" w:themeColor="text1"/>
          <w:rtl/>
        </w:rPr>
        <w:t>" بنسبة 43.8% و 43.6%، على التوالي.</w:t>
      </w:r>
      <w:r w:rsidR="002D3645" w:rsidRPr="00165FD2">
        <w:rPr>
          <w:rFonts w:cs="Simplified Arabic" w:hint="cs"/>
          <w:color w:val="000000" w:themeColor="text1"/>
          <w:rtl/>
        </w:rPr>
        <w:t xml:space="preserve"> </w:t>
      </w:r>
      <w:r>
        <w:rPr>
          <w:rFonts w:cs="Simplified Arabic" w:hint="cs"/>
          <w:color w:val="000000" w:themeColor="text1"/>
          <w:rtl/>
        </w:rPr>
        <w:t>وقد</w:t>
      </w:r>
      <w:r w:rsidR="002D3645" w:rsidRPr="00165FD2">
        <w:rPr>
          <w:rFonts w:cs="Simplified Arabic" w:hint="cs"/>
          <w:color w:val="000000" w:themeColor="text1"/>
          <w:rtl/>
        </w:rPr>
        <w:t xml:space="preserve"> شهدت باقي الأنشطة الاقتصادية </w:t>
      </w:r>
      <w:r>
        <w:rPr>
          <w:rFonts w:cs="Simplified Arabic" w:hint="cs"/>
          <w:color w:val="000000" w:themeColor="text1"/>
          <w:rtl/>
        </w:rPr>
        <w:t xml:space="preserve">في الضفة الغربية وقطاع غزة </w:t>
      </w:r>
      <w:r w:rsidR="002D3645" w:rsidRPr="00165FD2">
        <w:rPr>
          <w:rFonts w:cs="Simplified Arabic" w:hint="cs"/>
          <w:color w:val="000000" w:themeColor="text1"/>
          <w:rtl/>
        </w:rPr>
        <w:t>ارتفاعا بأعداد العاملين</w:t>
      </w:r>
      <w:r>
        <w:rPr>
          <w:rFonts w:cs="Simplified Arabic" w:hint="cs"/>
          <w:color w:val="000000" w:themeColor="text1"/>
          <w:rtl/>
        </w:rPr>
        <w:t xml:space="preserve"> ولكن بنسب أقل</w:t>
      </w:r>
      <w:r w:rsidR="002D3645" w:rsidRPr="00165FD2">
        <w:rPr>
          <w:rFonts w:cs="Simplified Arabic" w:hint="cs"/>
          <w:color w:val="000000" w:themeColor="text1"/>
          <w:rtl/>
        </w:rPr>
        <w:t xml:space="preserve">. </w:t>
      </w:r>
      <w:r>
        <w:rPr>
          <w:rFonts w:cs="Simplified Arabic" w:hint="cs"/>
          <w:color w:val="000000" w:themeColor="text1"/>
          <w:rtl/>
        </w:rPr>
        <w:t xml:space="preserve">ويعزى </w:t>
      </w:r>
      <w:r w:rsidR="002D3645" w:rsidRPr="00165FD2">
        <w:rPr>
          <w:rFonts w:cs="Simplified Arabic" w:hint="cs"/>
          <w:color w:val="000000" w:themeColor="text1"/>
          <w:rtl/>
        </w:rPr>
        <w:t>الارتفاع</w:t>
      </w:r>
      <w:r>
        <w:rPr>
          <w:rFonts w:cs="Simplified Arabic" w:hint="cs"/>
          <w:color w:val="000000" w:themeColor="text1"/>
          <w:rtl/>
        </w:rPr>
        <w:t xml:space="preserve"> الكبير</w:t>
      </w:r>
      <w:r w:rsidR="002D3645" w:rsidRPr="00165FD2">
        <w:rPr>
          <w:rFonts w:cs="Simplified Arabic" w:hint="cs"/>
          <w:color w:val="000000" w:themeColor="text1"/>
          <w:rtl/>
        </w:rPr>
        <w:t xml:space="preserve"> في أعداد العاملين</w:t>
      </w:r>
      <w:r>
        <w:rPr>
          <w:rFonts w:cs="Simplified Arabic" w:hint="cs"/>
          <w:color w:val="000000" w:themeColor="text1"/>
          <w:rtl/>
        </w:rPr>
        <w:t xml:space="preserve"> في قطاع الإنشاءات في </w:t>
      </w:r>
      <w:r w:rsidR="002D3645" w:rsidRPr="00165FD2">
        <w:rPr>
          <w:rFonts w:cs="Simplified Arabic" w:hint="cs"/>
          <w:color w:val="000000" w:themeColor="text1"/>
          <w:rtl/>
        </w:rPr>
        <w:t xml:space="preserve">قطاع غزة </w:t>
      </w:r>
      <w:r>
        <w:rPr>
          <w:rFonts w:cs="Simplified Arabic" w:hint="cs"/>
          <w:color w:val="000000" w:themeColor="text1"/>
          <w:rtl/>
        </w:rPr>
        <w:t>إلى</w:t>
      </w:r>
      <w:r w:rsidR="002D3645" w:rsidRPr="00165FD2">
        <w:rPr>
          <w:rFonts w:cs="Simplified Arabic" w:hint="cs"/>
          <w:color w:val="000000" w:themeColor="text1"/>
          <w:rtl/>
        </w:rPr>
        <w:t xml:space="preserve"> ما شهده القطاع خلال عام 2009 من حصار خانق على المعابر لمنع كافة المعاملات الاقتصادية من وإلى قطاع غزة،  </w:t>
      </w:r>
      <w:r>
        <w:rPr>
          <w:rFonts w:cs="Simplified Arabic" w:hint="cs"/>
          <w:color w:val="000000" w:themeColor="text1"/>
          <w:rtl/>
        </w:rPr>
        <w:t xml:space="preserve">حيث </w:t>
      </w:r>
      <w:r w:rsidRPr="00165FD2">
        <w:rPr>
          <w:rFonts w:cs="Simplified Arabic" w:hint="cs"/>
          <w:color w:val="000000" w:themeColor="text1"/>
          <w:rtl/>
        </w:rPr>
        <w:t xml:space="preserve">لم يعبر إلى القطاع أي كميات إسمنت مستوردة من الخارج </w:t>
      </w:r>
      <w:r>
        <w:rPr>
          <w:rFonts w:cs="Simplified Arabic" w:hint="cs"/>
          <w:color w:val="000000" w:themeColor="text1"/>
          <w:rtl/>
        </w:rPr>
        <w:t xml:space="preserve">خلال </w:t>
      </w:r>
      <w:r w:rsidR="002D3645" w:rsidRPr="00165FD2">
        <w:rPr>
          <w:rFonts w:cs="Simplified Arabic" w:hint="cs"/>
          <w:color w:val="000000" w:themeColor="text1"/>
          <w:rtl/>
        </w:rPr>
        <w:t>عام 2009</w:t>
      </w:r>
      <w:r>
        <w:rPr>
          <w:rFonts w:cs="Simplified Arabic" w:hint="cs"/>
          <w:color w:val="000000" w:themeColor="text1"/>
          <w:rtl/>
        </w:rPr>
        <w:t>،</w:t>
      </w:r>
      <w:r w:rsidR="002D3645" w:rsidRPr="00165FD2">
        <w:rPr>
          <w:rFonts w:cs="Simplified Arabic" w:hint="cs"/>
          <w:color w:val="000000" w:themeColor="text1"/>
          <w:rtl/>
        </w:rPr>
        <w:t xml:space="preserve"> </w:t>
      </w:r>
      <w:r>
        <w:rPr>
          <w:rFonts w:cs="Simplified Arabic" w:hint="cs"/>
          <w:color w:val="000000" w:themeColor="text1"/>
          <w:rtl/>
        </w:rPr>
        <w:t xml:space="preserve">ما يشير إلى </w:t>
      </w:r>
      <w:r w:rsidR="002D3645" w:rsidRPr="00165FD2">
        <w:rPr>
          <w:rFonts w:cs="Simplified Arabic" w:hint="cs"/>
          <w:color w:val="000000" w:themeColor="text1"/>
          <w:rtl/>
        </w:rPr>
        <w:t>توقف شبه كامل في حركة الإنشاءات</w:t>
      </w:r>
      <w:r>
        <w:rPr>
          <w:rFonts w:cs="Simplified Arabic" w:hint="cs"/>
          <w:color w:val="000000" w:themeColor="text1"/>
          <w:rtl/>
        </w:rPr>
        <w:t xml:space="preserve"> خلال ذلك العام. وقد</w:t>
      </w:r>
      <w:r w:rsidR="002D3645" w:rsidRPr="00165FD2">
        <w:rPr>
          <w:rFonts w:cs="Simplified Arabic" w:hint="cs"/>
          <w:color w:val="000000" w:themeColor="text1"/>
          <w:rtl/>
        </w:rPr>
        <w:t xml:space="preserve"> </w:t>
      </w:r>
      <w:r w:rsidRPr="00165FD2">
        <w:rPr>
          <w:rFonts w:cs="Simplified Arabic" w:hint="cs"/>
          <w:color w:val="000000" w:themeColor="text1"/>
          <w:rtl/>
        </w:rPr>
        <w:t xml:space="preserve">استمر </w:t>
      </w:r>
      <w:r w:rsidR="002D3645" w:rsidRPr="00165FD2">
        <w:rPr>
          <w:rFonts w:cs="Simplified Arabic" w:hint="cs"/>
          <w:color w:val="000000" w:themeColor="text1"/>
          <w:rtl/>
        </w:rPr>
        <w:t>الحصار عل</w:t>
      </w:r>
      <w:r w:rsidR="002D3645" w:rsidRPr="00165FD2">
        <w:rPr>
          <w:rFonts w:cs="Simplified Arabic" w:hint="eastAsia"/>
          <w:color w:val="000000" w:themeColor="text1"/>
          <w:rtl/>
        </w:rPr>
        <w:t>ى</w:t>
      </w:r>
      <w:r w:rsidR="002D3645" w:rsidRPr="00165FD2">
        <w:rPr>
          <w:rFonts w:cs="Simplified Arabic" w:hint="cs"/>
          <w:color w:val="000000" w:themeColor="text1"/>
          <w:rtl/>
        </w:rPr>
        <w:t xml:space="preserve"> قطاع غزة خلال عام 2011 ولكن بوتيرة أقل مقارنة بعام</w:t>
      </w:r>
      <w:r>
        <w:rPr>
          <w:rFonts w:cs="Simplified Arabic" w:hint="cs"/>
          <w:color w:val="000000" w:themeColor="text1"/>
          <w:rtl/>
        </w:rPr>
        <w:t>ي 2009 و</w:t>
      </w:r>
      <w:r w:rsidR="002D3645" w:rsidRPr="00165FD2">
        <w:rPr>
          <w:rFonts w:cs="Simplified Arabic" w:hint="cs"/>
          <w:color w:val="000000" w:themeColor="text1"/>
          <w:rtl/>
        </w:rPr>
        <w:t xml:space="preserve"> 2010 من حيث فتح وإغلاق المعابر من والى قطاع غزة، </w:t>
      </w:r>
      <w:r>
        <w:rPr>
          <w:rFonts w:cs="Simplified Arabic" w:hint="cs"/>
          <w:color w:val="000000" w:themeColor="text1"/>
          <w:rtl/>
        </w:rPr>
        <w:t xml:space="preserve">ما أدى إلى زيادة نشاط الإنشاءات وزيادة </w:t>
      </w:r>
      <w:r w:rsidR="002D3645" w:rsidRPr="00165FD2">
        <w:rPr>
          <w:rFonts w:cs="Simplified Arabic" w:hint="cs"/>
          <w:color w:val="000000" w:themeColor="text1"/>
          <w:rtl/>
        </w:rPr>
        <w:t xml:space="preserve">أعداد العاملين </w:t>
      </w:r>
      <w:r>
        <w:rPr>
          <w:rFonts w:cs="Simplified Arabic" w:hint="cs"/>
          <w:color w:val="000000" w:themeColor="text1"/>
          <w:rtl/>
        </w:rPr>
        <w:t>فيه</w:t>
      </w:r>
      <w:r w:rsidR="002D3645" w:rsidRPr="00165FD2">
        <w:rPr>
          <w:rFonts w:cs="Simplified Arabic" w:hint="cs"/>
          <w:color w:val="000000" w:themeColor="text1"/>
          <w:rtl/>
        </w:rPr>
        <w:t xml:space="preserve"> خلال عام 2011 </w:t>
      </w:r>
      <w:r>
        <w:rPr>
          <w:rFonts w:cs="Simplified Arabic" w:hint="cs"/>
          <w:color w:val="000000" w:themeColor="text1"/>
          <w:rtl/>
        </w:rPr>
        <w:t>إلى مستوى ي</w:t>
      </w:r>
      <w:r w:rsidR="002D3645" w:rsidRPr="00165FD2">
        <w:rPr>
          <w:rFonts w:cs="Simplified Arabic" w:hint="cs"/>
          <w:color w:val="000000" w:themeColor="text1"/>
          <w:rtl/>
        </w:rPr>
        <w:t xml:space="preserve">قارب ما </w:t>
      </w:r>
      <w:r>
        <w:rPr>
          <w:rFonts w:cs="Simplified Arabic" w:hint="cs"/>
          <w:color w:val="000000" w:themeColor="text1"/>
          <w:rtl/>
        </w:rPr>
        <w:t xml:space="preserve">كان الأمر عليه </w:t>
      </w:r>
      <w:r w:rsidR="002D3645" w:rsidRPr="00165FD2">
        <w:rPr>
          <w:rFonts w:cs="Simplified Arabic" w:hint="cs"/>
          <w:color w:val="000000" w:themeColor="text1"/>
          <w:rtl/>
        </w:rPr>
        <w:t>قبل الحصار.</w:t>
      </w:r>
    </w:p>
    <w:p w:rsidR="00F63205" w:rsidRPr="00FE06E2" w:rsidRDefault="00FE06E2" w:rsidP="00B11761">
      <w:pPr>
        <w:pStyle w:val="Heading3"/>
        <w:keepNext w:val="0"/>
        <w:spacing w:before="240"/>
        <w:jc w:val="both"/>
        <w:rPr>
          <w:b w:val="0"/>
          <w:bCs w:val="0"/>
          <w:color w:val="000000" w:themeColor="text1"/>
          <w:rtl/>
        </w:rPr>
      </w:pPr>
      <w:r>
        <w:rPr>
          <w:rFonts w:hint="cs"/>
          <w:color w:val="000000" w:themeColor="text1"/>
          <w:rtl/>
        </w:rPr>
        <w:t xml:space="preserve">أما من حيث </w:t>
      </w:r>
      <w:r w:rsidR="00B45AC2" w:rsidRPr="00165FD2">
        <w:rPr>
          <w:rFonts w:hint="cs"/>
          <w:color w:val="000000" w:themeColor="text1"/>
          <w:rtl/>
        </w:rPr>
        <w:t>التوزيع النسبي لعدد العاملين حسب النشاط الاقتصادي</w:t>
      </w:r>
      <w:r>
        <w:rPr>
          <w:rFonts w:hint="cs"/>
          <w:color w:val="000000" w:themeColor="text1"/>
          <w:rtl/>
        </w:rPr>
        <w:t xml:space="preserve">، فقد تركز </w:t>
      </w:r>
      <w:r w:rsidR="00B45AC2" w:rsidRPr="00165FD2">
        <w:rPr>
          <w:rFonts w:hint="cs"/>
          <w:color w:val="000000" w:themeColor="text1"/>
          <w:rtl/>
        </w:rPr>
        <w:t>العامل</w:t>
      </w:r>
      <w:r>
        <w:rPr>
          <w:rFonts w:hint="cs"/>
          <w:color w:val="000000" w:themeColor="text1"/>
          <w:rtl/>
        </w:rPr>
        <w:t>و</w:t>
      </w:r>
      <w:r w:rsidR="00B45AC2" w:rsidRPr="00165FD2">
        <w:rPr>
          <w:rFonts w:hint="cs"/>
          <w:color w:val="000000" w:themeColor="text1"/>
          <w:rtl/>
        </w:rPr>
        <w:t>ن في الأراضي الفلسط</w:t>
      </w:r>
      <w:r>
        <w:rPr>
          <w:rFonts w:hint="cs"/>
          <w:color w:val="000000" w:themeColor="text1"/>
          <w:rtl/>
        </w:rPr>
        <w:t xml:space="preserve">ينية بشكل كبير في نشاط الخدمات </w:t>
      </w:r>
      <w:r w:rsidR="00B45AC2" w:rsidRPr="00165FD2">
        <w:rPr>
          <w:rFonts w:hint="cs"/>
          <w:color w:val="000000" w:themeColor="text1"/>
          <w:rtl/>
        </w:rPr>
        <w:t xml:space="preserve">خلال عام </w:t>
      </w:r>
      <w:r w:rsidR="00685F42" w:rsidRPr="00165FD2">
        <w:rPr>
          <w:rFonts w:hint="cs"/>
          <w:color w:val="000000" w:themeColor="text1"/>
          <w:rtl/>
        </w:rPr>
        <w:t>2011</w:t>
      </w:r>
      <w:r>
        <w:rPr>
          <w:rFonts w:hint="cs"/>
          <w:color w:val="000000" w:themeColor="text1"/>
          <w:rtl/>
        </w:rPr>
        <w:t>، حيث</w:t>
      </w:r>
      <w:r w:rsidR="00B45AC2" w:rsidRPr="00165FD2">
        <w:rPr>
          <w:rFonts w:hint="cs"/>
          <w:color w:val="000000" w:themeColor="text1"/>
          <w:rtl/>
        </w:rPr>
        <w:t xml:space="preserve"> بلغت نسبة العاملين في </w:t>
      </w:r>
      <w:r>
        <w:rPr>
          <w:rFonts w:hint="cs"/>
          <w:color w:val="000000" w:themeColor="text1"/>
          <w:rtl/>
        </w:rPr>
        <w:t>هذا النشاط</w:t>
      </w:r>
      <w:r w:rsidR="00B45AC2" w:rsidRPr="00165FD2">
        <w:rPr>
          <w:rFonts w:hint="cs"/>
          <w:color w:val="000000" w:themeColor="text1"/>
          <w:rtl/>
        </w:rPr>
        <w:t xml:space="preserve"> </w:t>
      </w:r>
      <w:r w:rsidR="00BD6EAF" w:rsidRPr="00165FD2">
        <w:rPr>
          <w:rFonts w:hint="cs"/>
          <w:color w:val="000000" w:themeColor="text1"/>
          <w:rtl/>
        </w:rPr>
        <w:t>36.0</w:t>
      </w:r>
      <w:r w:rsidR="00B45AC2" w:rsidRPr="00165FD2">
        <w:rPr>
          <w:rFonts w:hint="cs"/>
          <w:color w:val="000000" w:themeColor="text1"/>
          <w:rtl/>
        </w:rPr>
        <w:t>%</w:t>
      </w:r>
      <w:r>
        <w:rPr>
          <w:rFonts w:hint="cs"/>
          <w:color w:val="000000" w:themeColor="text1"/>
          <w:rtl/>
        </w:rPr>
        <w:t>، يلي ذلك العامل</w:t>
      </w:r>
      <w:r w:rsidR="00B11761">
        <w:rPr>
          <w:rFonts w:hint="cs"/>
          <w:color w:val="000000" w:themeColor="text1"/>
          <w:rtl/>
        </w:rPr>
        <w:t>ون</w:t>
      </w:r>
      <w:r>
        <w:rPr>
          <w:rFonts w:hint="cs"/>
          <w:color w:val="000000" w:themeColor="text1"/>
          <w:rtl/>
        </w:rPr>
        <w:t xml:space="preserve"> في نشاط التجارة والمطاعم والفنادق 20.3% ونشاط البناء والتشييد 13.9%.</w:t>
      </w:r>
      <w:r w:rsidR="00B45AC2" w:rsidRPr="00FE06E2">
        <w:rPr>
          <w:rFonts w:hint="cs"/>
          <w:b w:val="0"/>
          <w:bCs w:val="0"/>
          <w:color w:val="000000" w:themeColor="text1"/>
          <w:rtl/>
        </w:rPr>
        <w:t xml:space="preserve"> </w:t>
      </w:r>
      <w:r>
        <w:rPr>
          <w:rFonts w:hint="cs"/>
          <w:b w:val="0"/>
          <w:bCs w:val="0"/>
          <w:color w:val="000000" w:themeColor="text1"/>
          <w:rtl/>
        </w:rPr>
        <w:t>وتفاوتت نسبة العاملين في هذه القطاعات بشكل واضح بين الضفة الغربية وقطاع غزة. فكما يتضح من الشكلين</w:t>
      </w:r>
      <w:r w:rsidRPr="00FE06E2">
        <w:rPr>
          <w:rFonts w:hint="cs"/>
          <w:b w:val="0"/>
          <w:bCs w:val="0"/>
          <w:color w:val="000000" w:themeColor="text1"/>
          <w:rtl/>
        </w:rPr>
        <w:t xml:space="preserve"> 8 و9</w:t>
      </w:r>
      <w:r>
        <w:rPr>
          <w:rFonts w:hint="cs"/>
          <w:b w:val="0"/>
          <w:bCs w:val="0"/>
          <w:color w:val="000000" w:themeColor="text1"/>
          <w:rtl/>
        </w:rPr>
        <w:t xml:space="preserve">، بلغت نسبة العاملين في قطاع الخدمات في الضفة الغربية </w:t>
      </w:r>
      <w:r w:rsidR="00BD6EAF" w:rsidRPr="00FE06E2">
        <w:rPr>
          <w:rFonts w:hint="cs"/>
          <w:b w:val="0"/>
          <w:bCs w:val="0"/>
          <w:color w:val="000000" w:themeColor="text1"/>
          <w:rtl/>
        </w:rPr>
        <w:t>29</w:t>
      </w:r>
      <w:r w:rsidR="005069DB">
        <w:rPr>
          <w:rFonts w:hint="cs"/>
          <w:b w:val="0"/>
          <w:bCs w:val="0"/>
          <w:color w:val="000000" w:themeColor="text1"/>
          <w:rtl/>
        </w:rPr>
        <w:t>.0</w:t>
      </w:r>
      <w:r w:rsidR="00B45AC2" w:rsidRPr="00FE06E2">
        <w:rPr>
          <w:rFonts w:hint="cs"/>
          <w:b w:val="0"/>
          <w:bCs w:val="0"/>
          <w:color w:val="000000" w:themeColor="text1"/>
          <w:rtl/>
        </w:rPr>
        <w:t xml:space="preserve">% </w:t>
      </w:r>
      <w:r>
        <w:rPr>
          <w:rFonts w:hint="cs"/>
          <w:b w:val="0"/>
          <w:bCs w:val="0"/>
          <w:color w:val="000000" w:themeColor="text1"/>
          <w:rtl/>
        </w:rPr>
        <w:t>مقابل 53</w:t>
      </w:r>
      <w:r w:rsidR="005069DB">
        <w:rPr>
          <w:rFonts w:hint="cs"/>
          <w:b w:val="0"/>
          <w:bCs w:val="0"/>
          <w:color w:val="000000" w:themeColor="text1"/>
          <w:rtl/>
        </w:rPr>
        <w:t>.0</w:t>
      </w:r>
      <w:r>
        <w:rPr>
          <w:rFonts w:hint="cs"/>
          <w:b w:val="0"/>
          <w:bCs w:val="0"/>
          <w:color w:val="000000" w:themeColor="text1"/>
          <w:rtl/>
        </w:rPr>
        <w:t>% في قطاع غزة</w:t>
      </w:r>
      <w:r w:rsidR="00B45AC2" w:rsidRPr="00FE06E2">
        <w:rPr>
          <w:rFonts w:hint="cs"/>
          <w:b w:val="0"/>
          <w:bCs w:val="0"/>
          <w:color w:val="000000" w:themeColor="text1"/>
          <w:rtl/>
        </w:rPr>
        <w:t xml:space="preserve">، </w:t>
      </w:r>
      <w:bookmarkStart w:id="4" w:name="OLE_LINK27"/>
      <w:r>
        <w:rPr>
          <w:rFonts w:hint="cs"/>
          <w:b w:val="0"/>
          <w:bCs w:val="0"/>
          <w:color w:val="000000" w:themeColor="text1"/>
          <w:rtl/>
        </w:rPr>
        <w:t>بينما بلغت نسبة العاملين في الصناعة 14</w:t>
      </w:r>
      <w:r w:rsidR="005069DB">
        <w:rPr>
          <w:rFonts w:hint="cs"/>
          <w:b w:val="0"/>
          <w:bCs w:val="0"/>
          <w:color w:val="000000" w:themeColor="text1"/>
          <w:rtl/>
        </w:rPr>
        <w:t>.0</w:t>
      </w:r>
      <w:r>
        <w:rPr>
          <w:rFonts w:hint="cs"/>
          <w:b w:val="0"/>
          <w:bCs w:val="0"/>
          <w:color w:val="000000" w:themeColor="text1"/>
          <w:rtl/>
        </w:rPr>
        <w:t>% في الضفة الغربية مقابل 5</w:t>
      </w:r>
      <w:r w:rsidR="005069DB">
        <w:rPr>
          <w:rFonts w:hint="cs"/>
          <w:b w:val="0"/>
          <w:bCs w:val="0"/>
          <w:color w:val="000000" w:themeColor="text1"/>
          <w:rtl/>
        </w:rPr>
        <w:t>.0</w:t>
      </w:r>
      <w:r>
        <w:rPr>
          <w:rFonts w:hint="cs"/>
          <w:b w:val="0"/>
          <w:bCs w:val="0"/>
          <w:color w:val="000000" w:themeColor="text1"/>
          <w:rtl/>
        </w:rPr>
        <w:t>% في قطاع غزة</w:t>
      </w:r>
      <w:r w:rsidR="008117BF">
        <w:rPr>
          <w:rFonts w:hint="cs"/>
          <w:b w:val="0"/>
          <w:bCs w:val="0"/>
          <w:color w:val="000000" w:themeColor="text1"/>
          <w:rtl/>
        </w:rPr>
        <w:t>، وبلغت نسبة العاملين في نشاط البناء والتشييد 17</w:t>
      </w:r>
      <w:r w:rsidR="005069DB">
        <w:rPr>
          <w:rFonts w:hint="cs"/>
          <w:b w:val="0"/>
          <w:bCs w:val="0"/>
          <w:color w:val="000000" w:themeColor="text1"/>
          <w:rtl/>
        </w:rPr>
        <w:t>.0</w:t>
      </w:r>
      <w:r w:rsidR="008117BF">
        <w:rPr>
          <w:rFonts w:hint="cs"/>
          <w:b w:val="0"/>
          <w:bCs w:val="0"/>
          <w:color w:val="000000" w:themeColor="text1"/>
          <w:rtl/>
        </w:rPr>
        <w:t>% في الضفة الغربية مقابل 6</w:t>
      </w:r>
      <w:r w:rsidR="005069DB">
        <w:rPr>
          <w:rFonts w:hint="cs"/>
          <w:b w:val="0"/>
          <w:bCs w:val="0"/>
          <w:color w:val="000000" w:themeColor="text1"/>
          <w:rtl/>
        </w:rPr>
        <w:t>.0</w:t>
      </w:r>
      <w:r w:rsidR="008117BF">
        <w:rPr>
          <w:rFonts w:hint="cs"/>
          <w:b w:val="0"/>
          <w:bCs w:val="0"/>
          <w:color w:val="000000" w:themeColor="text1"/>
          <w:rtl/>
        </w:rPr>
        <w:t>% في قطاع غزة</w:t>
      </w:r>
      <w:r w:rsidR="00B45AC2" w:rsidRPr="00FE06E2">
        <w:rPr>
          <w:rFonts w:hint="cs"/>
          <w:b w:val="0"/>
          <w:bCs w:val="0"/>
          <w:color w:val="000000" w:themeColor="text1"/>
          <w:rtl/>
        </w:rPr>
        <w:t>.</w:t>
      </w:r>
      <w:bookmarkEnd w:id="4"/>
    </w:p>
    <w:p w:rsidR="00F63205" w:rsidRPr="00FE06E2" w:rsidRDefault="00F63205">
      <w:pPr>
        <w:rPr>
          <w:rFonts w:cs="Simplified Arabic"/>
          <w:color w:val="000000" w:themeColor="text1"/>
          <w:rtl/>
        </w:rPr>
      </w:pPr>
    </w:p>
    <w:tbl>
      <w:tblPr>
        <w:bidiVisual/>
        <w:tblW w:w="9072" w:type="dxa"/>
        <w:tblInd w:w="106" w:type="dxa"/>
        <w:tblLayout w:type="fixed"/>
        <w:tblLook w:val="0000"/>
      </w:tblPr>
      <w:tblGrid>
        <w:gridCol w:w="4617"/>
        <w:gridCol w:w="4455"/>
      </w:tblGrid>
      <w:tr w:rsidR="00265E1A" w:rsidRPr="00165FD2" w:rsidTr="00E405A2">
        <w:trPr>
          <w:trHeight w:val="3609"/>
        </w:trPr>
        <w:tc>
          <w:tcPr>
            <w:tcW w:w="4617" w:type="dxa"/>
          </w:tcPr>
          <w:p w:rsidR="00265E1A" w:rsidRPr="00165FD2" w:rsidRDefault="00265E1A" w:rsidP="00CF02CC">
            <w:pPr>
              <w:jc w:val="center"/>
              <w:rPr>
                <w:rFonts w:cs="Simplified Arabic"/>
                <w:b/>
                <w:bCs/>
                <w:color w:val="000000" w:themeColor="text1"/>
                <w:sz w:val="22"/>
                <w:szCs w:val="22"/>
                <w:rtl/>
              </w:rPr>
            </w:pPr>
            <w:r w:rsidRPr="00165FD2">
              <w:rPr>
                <w:rFonts w:cs="Simplified Arabic" w:hint="cs"/>
                <w:b/>
                <w:bCs/>
                <w:color w:val="000000" w:themeColor="text1"/>
                <w:sz w:val="22"/>
                <w:szCs w:val="22"/>
                <w:rtl/>
              </w:rPr>
              <w:t>شكل</w:t>
            </w:r>
            <w:r w:rsidR="00CF02CC">
              <w:rPr>
                <w:rFonts w:cs="Simplified Arabic" w:hint="cs"/>
                <w:b/>
                <w:bCs/>
                <w:color w:val="000000" w:themeColor="text1"/>
                <w:sz w:val="22"/>
                <w:szCs w:val="22"/>
                <w:rtl/>
              </w:rPr>
              <w:t xml:space="preserve"> 8</w:t>
            </w:r>
            <w:r w:rsidRPr="00165FD2">
              <w:rPr>
                <w:rFonts w:cs="Simplified Arabic" w:hint="cs"/>
                <w:b/>
                <w:bCs/>
                <w:color w:val="000000" w:themeColor="text1"/>
                <w:sz w:val="22"/>
                <w:szCs w:val="22"/>
                <w:rtl/>
              </w:rPr>
              <w:t>: التوزيع النسبي لعدد العاملين حسب النشاط الاقتصادي</w:t>
            </w:r>
            <w:r w:rsidR="00CF02CC">
              <w:rPr>
                <w:rFonts w:cs="Simplified Arabic" w:hint="cs"/>
                <w:b/>
                <w:bCs/>
                <w:color w:val="000000" w:themeColor="text1"/>
                <w:sz w:val="22"/>
                <w:szCs w:val="22"/>
                <w:rtl/>
              </w:rPr>
              <w:t xml:space="preserve"> </w:t>
            </w:r>
            <w:r w:rsidRPr="00165FD2">
              <w:rPr>
                <w:rFonts w:cs="Simplified Arabic" w:hint="cs"/>
                <w:b/>
                <w:bCs/>
                <w:color w:val="000000" w:themeColor="text1"/>
                <w:sz w:val="22"/>
                <w:szCs w:val="22"/>
                <w:rtl/>
              </w:rPr>
              <w:t>في الضفة الغربية</w:t>
            </w:r>
            <w:r w:rsidR="002016D9">
              <w:rPr>
                <w:rFonts w:cs="Simplified Arabic" w:hint="cs"/>
                <w:b/>
                <w:bCs/>
                <w:color w:val="000000" w:themeColor="text1"/>
                <w:sz w:val="22"/>
                <w:szCs w:val="22"/>
                <w:rtl/>
              </w:rPr>
              <w:t>،</w:t>
            </w:r>
            <w:r w:rsidRPr="00165FD2">
              <w:rPr>
                <w:rFonts w:cs="Simplified Arabic" w:hint="cs"/>
                <w:b/>
                <w:bCs/>
                <w:color w:val="000000" w:themeColor="text1"/>
                <w:sz w:val="22"/>
                <w:szCs w:val="22"/>
                <w:rtl/>
              </w:rPr>
              <w:t xml:space="preserve"> </w:t>
            </w:r>
            <w:r w:rsidR="00BD6EAF" w:rsidRPr="00165FD2">
              <w:rPr>
                <w:rFonts w:cs="Simplified Arabic" w:hint="cs"/>
                <w:b/>
                <w:bCs/>
                <w:color w:val="000000" w:themeColor="text1"/>
                <w:sz w:val="22"/>
                <w:szCs w:val="22"/>
                <w:rtl/>
              </w:rPr>
              <w:t>2011</w:t>
            </w:r>
          </w:p>
          <w:p w:rsidR="00265E1A" w:rsidRPr="00165FD2" w:rsidRDefault="00265E1A" w:rsidP="00A52525">
            <w:pPr>
              <w:spacing w:after="120"/>
              <w:jc w:val="center"/>
              <w:rPr>
                <w:rFonts w:cs="Simplified Arabic"/>
                <w:b/>
                <w:bCs/>
                <w:color w:val="000000" w:themeColor="text1"/>
                <w:sz w:val="22"/>
                <w:szCs w:val="22"/>
              </w:rPr>
            </w:pPr>
            <w:r w:rsidRPr="00165FD2">
              <w:rPr>
                <w:noProof/>
                <w:color w:val="000000" w:themeColor="text1"/>
                <w:lang w:eastAsia="en-US"/>
              </w:rPr>
              <w:drawing>
                <wp:inline distT="0" distB="0" distL="0" distR="0">
                  <wp:extent cx="2838450" cy="1962150"/>
                  <wp:effectExtent l="19050" t="0" r="1905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4455" w:type="dxa"/>
          </w:tcPr>
          <w:p w:rsidR="00265E1A" w:rsidRPr="00165FD2" w:rsidRDefault="00265E1A" w:rsidP="00CF02CC">
            <w:pPr>
              <w:jc w:val="center"/>
              <w:rPr>
                <w:rFonts w:cs="Simplified Arabic"/>
                <w:b/>
                <w:bCs/>
                <w:color w:val="000000" w:themeColor="text1"/>
                <w:sz w:val="22"/>
                <w:szCs w:val="22"/>
                <w:rtl/>
              </w:rPr>
            </w:pPr>
            <w:r w:rsidRPr="00165FD2">
              <w:rPr>
                <w:rFonts w:cs="Simplified Arabic" w:hint="cs"/>
                <w:b/>
                <w:bCs/>
                <w:color w:val="000000" w:themeColor="text1"/>
                <w:sz w:val="22"/>
                <w:szCs w:val="22"/>
                <w:rtl/>
              </w:rPr>
              <w:t>شكل</w:t>
            </w:r>
            <w:r w:rsidR="00CF02CC">
              <w:rPr>
                <w:rFonts w:cs="Simplified Arabic" w:hint="cs"/>
                <w:b/>
                <w:bCs/>
                <w:color w:val="000000" w:themeColor="text1"/>
                <w:sz w:val="22"/>
                <w:szCs w:val="22"/>
                <w:rtl/>
              </w:rPr>
              <w:t xml:space="preserve"> 9</w:t>
            </w:r>
            <w:r w:rsidRPr="00165FD2">
              <w:rPr>
                <w:rFonts w:cs="Simplified Arabic" w:hint="cs"/>
                <w:b/>
                <w:bCs/>
                <w:color w:val="000000" w:themeColor="text1"/>
                <w:sz w:val="22"/>
                <w:szCs w:val="22"/>
                <w:rtl/>
              </w:rPr>
              <w:t xml:space="preserve">: التوزيع النسبي لعدد العاملين حسب النشاط </w:t>
            </w:r>
            <w:r w:rsidR="00B87949" w:rsidRPr="00165FD2">
              <w:rPr>
                <w:rFonts w:cs="Simplified Arabic" w:hint="cs"/>
                <w:b/>
                <w:bCs/>
                <w:color w:val="000000" w:themeColor="text1"/>
                <w:sz w:val="22"/>
                <w:szCs w:val="22"/>
                <w:rtl/>
              </w:rPr>
              <w:t>الاقتصادي</w:t>
            </w:r>
            <w:r w:rsidRPr="00165FD2">
              <w:rPr>
                <w:rFonts w:cs="Simplified Arabic" w:hint="cs"/>
                <w:b/>
                <w:bCs/>
                <w:color w:val="000000" w:themeColor="text1"/>
                <w:sz w:val="22"/>
                <w:szCs w:val="22"/>
                <w:rtl/>
              </w:rPr>
              <w:t xml:space="preserve"> في قطاع غزة</w:t>
            </w:r>
            <w:r w:rsidR="00F21D27">
              <w:rPr>
                <w:rFonts w:cs="Simplified Arabic" w:hint="cs"/>
                <w:b/>
                <w:bCs/>
                <w:color w:val="000000" w:themeColor="text1"/>
                <w:sz w:val="22"/>
                <w:szCs w:val="22"/>
                <w:rtl/>
              </w:rPr>
              <w:t>،</w:t>
            </w:r>
            <w:r w:rsidRPr="00165FD2">
              <w:rPr>
                <w:rFonts w:cs="Simplified Arabic" w:hint="cs"/>
                <w:b/>
                <w:bCs/>
                <w:color w:val="000000" w:themeColor="text1"/>
                <w:sz w:val="22"/>
                <w:szCs w:val="22"/>
                <w:rtl/>
              </w:rPr>
              <w:t xml:space="preserve"> </w:t>
            </w:r>
            <w:r w:rsidR="00BD6EAF" w:rsidRPr="00165FD2">
              <w:rPr>
                <w:rFonts w:cs="Simplified Arabic" w:hint="cs"/>
                <w:b/>
                <w:bCs/>
                <w:color w:val="000000" w:themeColor="text1"/>
                <w:sz w:val="22"/>
                <w:szCs w:val="22"/>
                <w:rtl/>
              </w:rPr>
              <w:t>2011</w:t>
            </w:r>
          </w:p>
          <w:p w:rsidR="00265E1A" w:rsidRPr="00165FD2" w:rsidRDefault="00265E1A" w:rsidP="00A52525">
            <w:pPr>
              <w:spacing w:after="120"/>
              <w:jc w:val="center"/>
              <w:rPr>
                <w:rFonts w:cs="Simplified Arabic"/>
                <w:b/>
                <w:bCs/>
                <w:color w:val="000000" w:themeColor="text1"/>
                <w:sz w:val="22"/>
                <w:szCs w:val="22"/>
                <w:rtl/>
              </w:rPr>
            </w:pPr>
            <w:r w:rsidRPr="00165FD2">
              <w:rPr>
                <w:noProof/>
                <w:color w:val="000000" w:themeColor="text1"/>
                <w:lang w:eastAsia="en-US"/>
              </w:rPr>
              <w:drawing>
                <wp:inline distT="0" distB="0" distL="0" distR="0">
                  <wp:extent cx="2743200" cy="1962150"/>
                  <wp:effectExtent l="19050" t="0" r="1905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97FD3" w:rsidRPr="00165FD2" w:rsidRDefault="00B97FD3" w:rsidP="00B87949">
      <w:pPr>
        <w:jc w:val="center"/>
        <w:rPr>
          <w:rFonts w:cs="Simplified Arabic"/>
          <w:b/>
          <w:bCs/>
          <w:color w:val="000000" w:themeColor="text1"/>
          <w:sz w:val="22"/>
          <w:szCs w:val="22"/>
          <w:rtl/>
        </w:rPr>
      </w:pPr>
    </w:p>
    <w:p w:rsidR="008117BF" w:rsidRDefault="008117BF">
      <w:pPr>
        <w:jc w:val="lowKashida"/>
        <w:rPr>
          <w:rFonts w:cs="Simplified Arabic"/>
          <w:b/>
          <w:bCs/>
          <w:color w:val="000000" w:themeColor="text1"/>
          <w:rtl/>
        </w:rPr>
      </w:pPr>
    </w:p>
    <w:p w:rsidR="008117BF" w:rsidRDefault="008117BF">
      <w:pPr>
        <w:bidi w:val="0"/>
        <w:rPr>
          <w:rFonts w:cs="Simplified Arabic"/>
          <w:b/>
          <w:bCs/>
          <w:color w:val="000000" w:themeColor="text1"/>
          <w:rtl/>
        </w:rPr>
      </w:pPr>
      <w:r>
        <w:rPr>
          <w:rFonts w:cs="Simplified Arabic"/>
          <w:b/>
          <w:bCs/>
          <w:color w:val="000000" w:themeColor="text1"/>
          <w:rtl/>
        </w:rPr>
        <w:br w:type="page"/>
      </w:r>
    </w:p>
    <w:p w:rsidR="00F63205" w:rsidRPr="00165FD2" w:rsidRDefault="00006D99" w:rsidP="00240B55">
      <w:pPr>
        <w:jc w:val="lowKashida"/>
        <w:rPr>
          <w:rFonts w:cs="Simplified Arabic"/>
          <w:b/>
          <w:bCs/>
          <w:color w:val="000000" w:themeColor="text1"/>
          <w:rtl/>
        </w:rPr>
      </w:pPr>
      <w:r>
        <w:rPr>
          <w:rFonts w:cs="Simplified Arabic" w:hint="cs"/>
          <w:b/>
          <w:bCs/>
          <w:color w:val="000000" w:themeColor="text1"/>
          <w:rtl/>
        </w:rPr>
        <w:lastRenderedPageBreak/>
        <w:t>3</w:t>
      </w:r>
      <w:r w:rsidR="00B45AC2" w:rsidRPr="00165FD2">
        <w:rPr>
          <w:rFonts w:cs="Simplified Arabic" w:hint="cs"/>
          <w:b/>
          <w:bCs/>
          <w:color w:val="000000" w:themeColor="text1"/>
          <w:rtl/>
        </w:rPr>
        <w:t>- الأسعار والق</w:t>
      </w:r>
      <w:r w:rsidR="00240B55">
        <w:rPr>
          <w:rFonts w:cs="Simplified Arabic" w:hint="cs"/>
          <w:b/>
          <w:bCs/>
          <w:color w:val="000000" w:themeColor="text1"/>
          <w:rtl/>
        </w:rPr>
        <w:t>و</w:t>
      </w:r>
      <w:r w:rsidR="00B45AC2" w:rsidRPr="00165FD2">
        <w:rPr>
          <w:rFonts w:cs="Simplified Arabic" w:hint="cs"/>
          <w:b/>
          <w:bCs/>
          <w:color w:val="000000" w:themeColor="text1"/>
          <w:rtl/>
        </w:rPr>
        <w:t>ة الشرائية</w:t>
      </w:r>
    </w:p>
    <w:p w:rsidR="005A7EB5" w:rsidRDefault="005A7EB5" w:rsidP="005A7EB5">
      <w:pPr>
        <w:jc w:val="lowKashida"/>
        <w:rPr>
          <w:rFonts w:cs="Simplified Arabic"/>
          <w:b/>
          <w:bCs/>
          <w:rtl/>
        </w:rPr>
      </w:pPr>
    </w:p>
    <w:p w:rsidR="007545B3" w:rsidRPr="007254CC" w:rsidRDefault="007545B3" w:rsidP="005A7EB5">
      <w:pPr>
        <w:jc w:val="lowKashida"/>
        <w:rPr>
          <w:rFonts w:cs="Simplified Arabic"/>
          <w:rtl/>
        </w:rPr>
      </w:pPr>
      <w:r w:rsidRPr="007254CC">
        <w:rPr>
          <w:rFonts w:cs="Simplified Arabic" w:hint="cs"/>
          <w:b/>
          <w:bCs/>
          <w:rtl/>
        </w:rPr>
        <w:t>ارتفع مؤش</w:t>
      </w:r>
      <w:r w:rsidRPr="007254CC">
        <w:rPr>
          <w:rFonts w:cs="Simplified Arabic" w:hint="eastAsia"/>
          <w:b/>
          <w:bCs/>
          <w:rtl/>
        </w:rPr>
        <w:t>ر</w:t>
      </w:r>
      <w:r w:rsidRPr="007254CC">
        <w:rPr>
          <w:rFonts w:cs="Simplified Arabic"/>
          <w:b/>
          <w:bCs/>
          <w:rtl/>
        </w:rPr>
        <w:t xml:space="preserve"> غلاء المعيشة</w:t>
      </w:r>
      <w:r w:rsidRPr="007254CC">
        <w:rPr>
          <w:rFonts w:cs="Simplified Arabic" w:hint="cs"/>
          <w:b/>
          <w:bCs/>
          <w:rtl/>
        </w:rPr>
        <w:t xml:space="preserve"> في الأراضي الفلسطينية</w:t>
      </w:r>
      <w:r w:rsidRPr="007254CC">
        <w:rPr>
          <w:rFonts w:cs="Simplified Arabic"/>
          <w:b/>
          <w:bCs/>
          <w:rtl/>
        </w:rPr>
        <w:t xml:space="preserve"> </w:t>
      </w:r>
      <w:r w:rsidRPr="007254CC">
        <w:rPr>
          <w:rFonts w:cs="Simplified Arabic" w:hint="cs"/>
          <w:b/>
          <w:bCs/>
          <w:rtl/>
        </w:rPr>
        <w:t xml:space="preserve">خلال العام 2011 بنسبة 2.88% ليصل إلى  132.7 مقارنة </w:t>
      </w:r>
      <w:proofErr w:type="spellStart"/>
      <w:r w:rsidRPr="007254CC">
        <w:rPr>
          <w:rFonts w:cs="Simplified Arabic" w:hint="cs"/>
          <w:b/>
          <w:bCs/>
          <w:rtl/>
        </w:rPr>
        <w:t>بـ</w:t>
      </w:r>
      <w:proofErr w:type="spellEnd"/>
      <w:r w:rsidRPr="007254CC">
        <w:rPr>
          <w:rFonts w:cs="Simplified Arabic" w:hint="cs"/>
          <w:b/>
          <w:bCs/>
          <w:rtl/>
        </w:rPr>
        <w:t xml:space="preserve"> 129.0 خلال</w:t>
      </w:r>
      <w:r w:rsidRPr="007254CC">
        <w:rPr>
          <w:rFonts w:cs="Simplified Arabic"/>
          <w:b/>
          <w:bCs/>
          <w:rtl/>
        </w:rPr>
        <w:t xml:space="preserve"> </w:t>
      </w:r>
      <w:r w:rsidRPr="007254CC">
        <w:rPr>
          <w:rFonts w:cs="Simplified Arabic" w:hint="cs"/>
          <w:b/>
          <w:bCs/>
          <w:rtl/>
        </w:rPr>
        <w:t xml:space="preserve">العام 2010 </w:t>
      </w:r>
      <w:r w:rsidRPr="007254CC">
        <w:rPr>
          <w:rFonts w:cs="Simplified Arabic"/>
          <w:b/>
          <w:bCs/>
          <w:rtl/>
        </w:rPr>
        <w:t xml:space="preserve">(سنة الأساس </w:t>
      </w:r>
      <w:r w:rsidRPr="007254CC">
        <w:rPr>
          <w:rFonts w:cs="Simplified Arabic" w:hint="cs"/>
          <w:b/>
          <w:bCs/>
          <w:rtl/>
        </w:rPr>
        <w:t>2004</w:t>
      </w:r>
      <w:r w:rsidRPr="007254CC">
        <w:rPr>
          <w:rFonts w:cs="Simplified Arabic"/>
          <w:b/>
          <w:bCs/>
          <w:rtl/>
        </w:rPr>
        <w:t>)</w:t>
      </w:r>
      <w:r w:rsidRPr="007254CC">
        <w:rPr>
          <w:rFonts w:cs="Simplified Arabic" w:hint="cs"/>
          <w:b/>
          <w:bCs/>
          <w:rtl/>
        </w:rPr>
        <w:t>.</w:t>
      </w:r>
      <w:r w:rsidRPr="007254CC">
        <w:rPr>
          <w:rFonts w:cs="Simplified Arabic" w:hint="cs"/>
          <w:rtl/>
        </w:rPr>
        <w:t xml:space="preserve"> ويعتبر التغير في الأسعار من المؤشرات الهامة التي تؤثر على القدرة الشرائية للأفراد.</w:t>
      </w:r>
      <w:r w:rsidRPr="007254CC" w:rsidDel="007545B3">
        <w:rPr>
          <w:rFonts w:cs="Simplified Arabic" w:hint="cs"/>
          <w:rtl/>
        </w:rPr>
        <w:t xml:space="preserve"> </w:t>
      </w:r>
      <w:r w:rsidRPr="007254CC">
        <w:rPr>
          <w:rFonts w:cs="Simplified Arabic" w:hint="cs"/>
          <w:rtl/>
        </w:rPr>
        <w:t xml:space="preserve">ويعزى ارتفاع مؤشر غلاء المعيشة خلال العام 2011 إلى </w:t>
      </w:r>
      <w:proofErr w:type="spellStart"/>
      <w:r w:rsidRPr="007254CC">
        <w:rPr>
          <w:rFonts w:cs="Simplified Arabic" w:hint="cs"/>
          <w:rtl/>
        </w:rPr>
        <w:t>إرتفاع</w:t>
      </w:r>
      <w:proofErr w:type="spellEnd"/>
      <w:r w:rsidRPr="007254CC">
        <w:rPr>
          <w:rFonts w:cs="Simplified Arabic" w:hint="cs"/>
          <w:rtl/>
        </w:rPr>
        <w:t xml:space="preserve"> أسعار كافة المجموعات الرئيسية باستثناء مجموعة الاثاث والمفروشات والسلع </w:t>
      </w:r>
      <w:proofErr w:type="spellStart"/>
      <w:r w:rsidRPr="007254CC">
        <w:rPr>
          <w:rFonts w:cs="Simplified Arabic" w:hint="cs"/>
          <w:rtl/>
        </w:rPr>
        <w:t>المنزلية</w:t>
      </w:r>
      <w:r w:rsidR="0055181F" w:rsidRPr="007254CC">
        <w:rPr>
          <w:rFonts w:cs="Simplified Arabic" w:hint="cs"/>
          <w:rtl/>
        </w:rPr>
        <w:t>،</w:t>
      </w:r>
      <w:proofErr w:type="spellEnd"/>
      <w:r w:rsidRPr="007254CC">
        <w:rPr>
          <w:rFonts w:cs="Simplified Arabic" w:hint="cs"/>
          <w:rtl/>
        </w:rPr>
        <w:t xml:space="preserve"> حيث سجلت مجموعة المشروبات الكحولية والتبغ </w:t>
      </w:r>
      <w:proofErr w:type="spellStart"/>
      <w:r w:rsidRPr="007254CC">
        <w:rPr>
          <w:rFonts w:cs="Simplified Arabic" w:hint="cs"/>
          <w:rtl/>
        </w:rPr>
        <w:t>إرتفاعاً</w:t>
      </w:r>
      <w:proofErr w:type="spellEnd"/>
      <w:r w:rsidRPr="007254CC">
        <w:rPr>
          <w:rFonts w:cs="Simplified Arabic" w:hint="cs"/>
          <w:rtl/>
        </w:rPr>
        <w:t xml:space="preserve"> بنسبة </w:t>
      </w:r>
      <w:proofErr w:type="spellStart"/>
      <w:r w:rsidRPr="007254CC">
        <w:rPr>
          <w:rFonts w:cs="Simplified Arabic" w:hint="cs"/>
          <w:rtl/>
        </w:rPr>
        <w:t>6.22%</w:t>
      </w:r>
      <w:proofErr w:type="spellEnd"/>
      <w:r w:rsidRPr="007254CC">
        <w:rPr>
          <w:rFonts w:cs="Simplified Arabic" w:hint="cs"/>
          <w:rtl/>
        </w:rPr>
        <w:t xml:space="preserve"> تلاها خدمات المطاعم والمقاهي والفنادق بنسبة 5.89%، ومجموعة النقل والمواصلات بنسبة 4.78%، ومجموعة الأقمشة والملابس والأحذية بنسبة 4.60%، والمواد الغذائية بنسبة 2.40%.   </w:t>
      </w:r>
    </w:p>
    <w:p w:rsidR="00F63205" w:rsidRPr="00165FD2" w:rsidRDefault="00F63205">
      <w:pPr>
        <w:jc w:val="lowKashida"/>
        <w:rPr>
          <w:rFonts w:cs="Simplified Arabic"/>
          <w:color w:val="000000" w:themeColor="text1"/>
          <w:rtl/>
        </w:rPr>
      </w:pPr>
    </w:p>
    <w:p w:rsidR="00F63205" w:rsidRPr="00165FD2" w:rsidRDefault="007545B3" w:rsidP="00CF02CC">
      <w:pPr>
        <w:jc w:val="center"/>
        <w:rPr>
          <w:rFonts w:cs="Simplified Arabic"/>
          <w:b/>
          <w:bCs/>
          <w:color w:val="000000" w:themeColor="text1"/>
          <w:sz w:val="22"/>
          <w:szCs w:val="22"/>
          <w:rtl/>
        </w:rPr>
      </w:pPr>
      <w:r w:rsidRPr="00165FD2">
        <w:rPr>
          <w:rFonts w:cs="Simplified Arabic" w:hint="cs"/>
          <w:b/>
          <w:bCs/>
          <w:color w:val="000000" w:themeColor="text1"/>
          <w:sz w:val="22"/>
          <w:szCs w:val="22"/>
          <w:rtl/>
        </w:rPr>
        <w:t>شكل</w:t>
      </w:r>
      <w:r w:rsidR="00CF02CC">
        <w:rPr>
          <w:rFonts w:cs="Simplified Arabic" w:hint="cs"/>
          <w:b/>
          <w:bCs/>
          <w:color w:val="000000" w:themeColor="text1"/>
          <w:sz w:val="22"/>
          <w:szCs w:val="22"/>
          <w:rtl/>
        </w:rPr>
        <w:t xml:space="preserve"> 10</w:t>
      </w:r>
      <w:r w:rsidR="00B45AC2" w:rsidRPr="00165FD2">
        <w:rPr>
          <w:rFonts w:cs="Simplified Arabic" w:hint="cs"/>
          <w:b/>
          <w:bCs/>
          <w:color w:val="000000" w:themeColor="text1"/>
          <w:sz w:val="22"/>
          <w:szCs w:val="22"/>
          <w:rtl/>
        </w:rPr>
        <w:t xml:space="preserve">: حركة الرقم القياسي لأسعار المستهلك </w:t>
      </w:r>
      <w:r w:rsidR="00334737">
        <w:rPr>
          <w:rFonts w:cs="Simplified Arabic" w:hint="cs"/>
          <w:b/>
          <w:bCs/>
          <w:sz w:val="22"/>
          <w:szCs w:val="22"/>
          <w:rtl/>
        </w:rPr>
        <w:t xml:space="preserve">في الاراضي </w:t>
      </w:r>
      <w:proofErr w:type="spellStart"/>
      <w:r w:rsidR="00334737">
        <w:rPr>
          <w:rFonts w:cs="Simplified Arabic" w:hint="cs"/>
          <w:b/>
          <w:bCs/>
          <w:sz w:val="22"/>
          <w:szCs w:val="22"/>
          <w:rtl/>
        </w:rPr>
        <w:t>الفلسطينية</w:t>
      </w:r>
      <w:r w:rsidR="00B45AC2" w:rsidRPr="00165FD2">
        <w:rPr>
          <w:rFonts w:cs="Simplified Arabic" w:hint="cs"/>
          <w:b/>
          <w:bCs/>
          <w:color w:val="000000" w:themeColor="text1"/>
          <w:sz w:val="22"/>
          <w:szCs w:val="22"/>
          <w:rtl/>
        </w:rPr>
        <w:t>،</w:t>
      </w:r>
      <w:proofErr w:type="spellEnd"/>
      <w:r w:rsidR="00B45AC2" w:rsidRPr="00165FD2">
        <w:rPr>
          <w:rFonts w:cs="Simplified Arabic" w:hint="cs"/>
          <w:b/>
          <w:bCs/>
          <w:color w:val="000000" w:themeColor="text1"/>
          <w:sz w:val="22"/>
          <w:szCs w:val="22"/>
          <w:rtl/>
        </w:rPr>
        <w:t xml:space="preserve"> (2004-201</w:t>
      </w:r>
      <w:r w:rsidR="00711247" w:rsidRPr="00165FD2">
        <w:rPr>
          <w:rFonts w:cs="Simplified Arabic" w:hint="cs"/>
          <w:b/>
          <w:bCs/>
          <w:color w:val="000000" w:themeColor="text1"/>
          <w:sz w:val="22"/>
          <w:szCs w:val="22"/>
          <w:rtl/>
        </w:rPr>
        <w:t>1</w:t>
      </w:r>
      <w:proofErr w:type="spellStart"/>
      <w:r w:rsidR="00B45AC2" w:rsidRPr="00165FD2">
        <w:rPr>
          <w:rFonts w:cs="Simplified Arabic" w:hint="cs"/>
          <w:b/>
          <w:bCs/>
          <w:color w:val="000000" w:themeColor="text1"/>
          <w:sz w:val="22"/>
          <w:szCs w:val="22"/>
          <w:rtl/>
        </w:rPr>
        <w:t>)</w:t>
      </w:r>
      <w:proofErr w:type="spellEnd"/>
    </w:p>
    <w:p w:rsidR="00F63205" w:rsidRPr="00165FD2" w:rsidRDefault="00265E1A" w:rsidP="00E803AD">
      <w:pPr>
        <w:spacing w:after="120"/>
        <w:jc w:val="center"/>
        <w:rPr>
          <w:rFonts w:cs="Simplified Arabic"/>
          <w:color w:val="000000" w:themeColor="text1"/>
          <w:rtl/>
        </w:rPr>
      </w:pPr>
      <w:r w:rsidRPr="00165FD2">
        <w:rPr>
          <w:noProof/>
          <w:color w:val="000000" w:themeColor="text1"/>
          <w:lang w:eastAsia="en-US"/>
        </w:rPr>
        <w:drawing>
          <wp:inline distT="0" distB="0" distL="0" distR="0">
            <wp:extent cx="4743450" cy="2924175"/>
            <wp:effectExtent l="19050" t="0" r="19050" b="0"/>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63205" w:rsidRPr="00165FD2" w:rsidRDefault="00F63205">
      <w:pPr>
        <w:pStyle w:val="Header"/>
        <w:tabs>
          <w:tab w:val="clear" w:pos="4153"/>
          <w:tab w:val="clear" w:pos="8306"/>
          <w:tab w:val="left" w:pos="5925"/>
        </w:tabs>
        <w:ind w:right="-180"/>
        <w:jc w:val="lowKashida"/>
        <w:rPr>
          <w:rFonts w:cs="Simplified Arabic"/>
          <w:color w:val="000000" w:themeColor="text1"/>
          <w:sz w:val="12"/>
          <w:szCs w:val="12"/>
          <w:rtl/>
        </w:rPr>
      </w:pPr>
    </w:p>
    <w:p w:rsidR="00C761AF" w:rsidRDefault="00F36751" w:rsidP="007254CC">
      <w:pPr>
        <w:pStyle w:val="Header"/>
        <w:tabs>
          <w:tab w:val="clear" w:pos="4153"/>
          <w:tab w:val="clear" w:pos="8306"/>
        </w:tabs>
        <w:spacing w:before="240"/>
        <w:jc w:val="both"/>
        <w:rPr>
          <w:rFonts w:cs="Simplified Arabic"/>
          <w:b/>
          <w:bCs/>
          <w:color w:val="000000" w:themeColor="text1"/>
          <w:sz w:val="24"/>
          <w:szCs w:val="24"/>
          <w:rtl/>
        </w:rPr>
      </w:pPr>
      <w:r w:rsidRPr="00F36751">
        <w:rPr>
          <w:rFonts w:cs="Simplified Arabic" w:hint="cs"/>
          <w:b/>
          <w:bCs/>
          <w:color w:val="000000" w:themeColor="text1"/>
          <w:sz w:val="24"/>
          <w:szCs w:val="24"/>
          <w:rtl/>
        </w:rPr>
        <w:t>تفاوت ال</w:t>
      </w:r>
      <w:r w:rsidRPr="0055181F">
        <w:rPr>
          <w:rFonts w:cs="Simplified Arabic" w:hint="cs"/>
          <w:b/>
          <w:bCs/>
          <w:color w:val="000000" w:themeColor="text1"/>
          <w:sz w:val="24"/>
          <w:szCs w:val="24"/>
          <w:rtl/>
        </w:rPr>
        <w:t xml:space="preserve">تغير في </w:t>
      </w:r>
      <w:r w:rsidR="00B45AC2" w:rsidRPr="0055181F">
        <w:rPr>
          <w:rFonts w:cs="Simplified Arabic" w:hint="cs"/>
          <w:b/>
          <w:bCs/>
          <w:color w:val="000000" w:themeColor="text1"/>
          <w:sz w:val="24"/>
          <w:szCs w:val="24"/>
          <w:rtl/>
        </w:rPr>
        <w:t xml:space="preserve">اسعار المستهلك على مستوى المناطق الفلسطينية خلال العام </w:t>
      </w:r>
      <w:r w:rsidR="00AC3E34" w:rsidRPr="0055181F">
        <w:rPr>
          <w:rFonts w:cs="Simplified Arabic" w:hint="cs"/>
          <w:b/>
          <w:bCs/>
          <w:color w:val="000000" w:themeColor="text1"/>
          <w:sz w:val="24"/>
          <w:szCs w:val="24"/>
          <w:rtl/>
        </w:rPr>
        <w:t>2011</w:t>
      </w:r>
      <w:r w:rsidR="00B45AC2" w:rsidRPr="0055181F">
        <w:rPr>
          <w:rFonts w:cs="Simplified Arabic" w:hint="cs"/>
          <w:b/>
          <w:bCs/>
          <w:color w:val="000000" w:themeColor="text1"/>
          <w:sz w:val="24"/>
          <w:szCs w:val="24"/>
          <w:rtl/>
        </w:rPr>
        <w:t>، مقارنة بالعام السابق</w:t>
      </w:r>
      <w:r w:rsidRPr="0055181F">
        <w:rPr>
          <w:rFonts w:cs="Simplified Arabic" w:hint="cs"/>
          <w:b/>
          <w:bCs/>
          <w:color w:val="000000" w:themeColor="text1"/>
          <w:sz w:val="24"/>
          <w:szCs w:val="24"/>
          <w:rtl/>
        </w:rPr>
        <w:t>،</w:t>
      </w:r>
      <w:r w:rsidR="00C12121" w:rsidRPr="0055181F">
        <w:rPr>
          <w:rFonts w:cs="Simplified Arabic" w:hint="cs"/>
          <w:b/>
          <w:bCs/>
          <w:color w:val="000000" w:themeColor="text1"/>
          <w:sz w:val="24"/>
          <w:szCs w:val="24"/>
          <w:rtl/>
        </w:rPr>
        <w:t xml:space="preserve"> </w:t>
      </w:r>
      <w:r w:rsidRPr="0055181F">
        <w:rPr>
          <w:rFonts w:cs="Simplified Arabic" w:hint="cs"/>
          <w:b/>
          <w:bCs/>
          <w:color w:val="000000" w:themeColor="text1"/>
          <w:sz w:val="24"/>
          <w:szCs w:val="24"/>
          <w:rtl/>
        </w:rPr>
        <w:t xml:space="preserve"> </w:t>
      </w:r>
      <w:r w:rsidR="0055181F" w:rsidRPr="0055181F">
        <w:rPr>
          <w:rFonts w:cs="Simplified Arabic" w:hint="cs"/>
          <w:b/>
          <w:bCs/>
          <w:color w:val="000000" w:themeColor="text1"/>
          <w:sz w:val="24"/>
          <w:szCs w:val="24"/>
          <w:rtl/>
        </w:rPr>
        <w:t xml:space="preserve">حيث  </w:t>
      </w:r>
      <w:r w:rsidR="00B45AC2" w:rsidRPr="0055181F">
        <w:rPr>
          <w:rFonts w:cs="Simplified Arabic" w:hint="cs"/>
          <w:b/>
          <w:bCs/>
          <w:color w:val="000000" w:themeColor="text1"/>
          <w:sz w:val="24"/>
          <w:szCs w:val="24"/>
          <w:rtl/>
        </w:rPr>
        <w:t>سجلت الأسعار في</w:t>
      </w:r>
      <w:r w:rsidR="00C12121" w:rsidRPr="0055181F">
        <w:rPr>
          <w:rFonts w:cs="Simplified Arabic" w:hint="cs"/>
          <w:b/>
          <w:bCs/>
          <w:color w:val="000000" w:themeColor="text1"/>
          <w:sz w:val="24"/>
          <w:szCs w:val="24"/>
          <w:rtl/>
        </w:rPr>
        <w:t xml:space="preserve"> </w:t>
      </w:r>
      <w:r w:rsidR="00B45AC2" w:rsidRPr="0055181F">
        <w:rPr>
          <w:rFonts w:cs="Simplified Arabic" w:hint="cs"/>
          <w:b/>
          <w:bCs/>
          <w:color w:val="000000" w:themeColor="text1"/>
          <w:sz w:val="24"/>
          <w:szCs w:val="24"/>
          <w:rtl/>
        </w:rPr>
        <w:t>القدس</w:t>
      </w:r>
      <w:r w:rsidR="00B45AC2" w:rsidRPr="0055181F">
        <w:rPr>
          <w:rFonts w:cs="Simplified Arabic" w:hint="cs"/>
          <w:b/>
          <w:bCs/>
          <w:color w:val="000000" w:themeColor="text1"/>
          <w:sz w:val="24"/>
          <w:szCs w:val="24"/>
        </w:rPr>
        <w:t>J1</w:t>
      </w:r>
      <w:r w:rsidR="00B45AC2" w:rsidRPr="0055181F">
        <w:rPr>
          <w:rFonts w:cs="Simplified Arabic" w:hint="cs"/>
          <w:b/>
          <w:bCs/>
          <w:color w:val="000000" w:themeColor="text1"/>
          <w:sz w:val="24"/>
          <w:szCs w:val="24"/>
          <w:rtl/>
        </w:rPr>
        <w:t xml:space="preserve"> ارتفاعا بنسبة </w:t>
      </w:r>
      <w:r w:rsidR="00C01C50" w:rsidRPr="0055181F">
        <w:rPr>
          <w:rFonts w:cs="Simplified Arabic" w:hint="cs"/>
          <w:b/>
          <w:bCs/>
          <w:color w:val="000000" w:themeColor="text1"/>
          <w:sz w:val="24"/>
          <w:szCs w:val="24"/>
          <w:rtl/>
        </w:rPr>
        <w:t>4.13</w:t>
      </w:r>
      <w:r w:rsidR="00B45AC2" w:rsidRPr="0055181F">
        <w:rPr>
          <w:rFonts w:cs="Simplified Arabic" w:hint="cs"/>
          <w:b/>
          <w:bCs/>
          <w:color w:val="000000" w:themeColor="text1"/>
          <w:sz w:val="24"/>
          <w:szCs w:val="24"/>
          <w:rtl/>
        </w:rPr>
        <w:t xml:space="preserve">%، </w:t>
      </w:r>
      <w:r w:rsidR="0055181F" w:rsidRPr="0055181F">
        <w:rPr>
          <w:rFonts w:cs="Simplified Arabic" w:hint="cs"/>
          <w:b/>
          <w:bCs/>
          <w:color w:val="000000" w:themeColor="text1"/>
          <w:sz w:val="24"/>
          <w:szCs w:val="24"/>
          <w:rtl/>
        </w:rPr>
        <w:t>وفي الضفة الغربية ارتفاعاً بنسبة 3.54%، بينما سجل مؤشر غلاء المعيشة في قطاع غزة ارتفاعاً طفيفاً بنسبة 0.57%</w:t>
      </w:r>
      <w:r w:rsidR="0055181F">
        <w:rPr>
          <w:rFonts w:cs="Simplified Arabic" w:hint="cs"/>
          <w:color w:val="000000" w:themeColor="text1"/>
          <w:sz w:val="24"/>
          <w:szCs w:val="24"/>
          <w:rtl/>
        </w:rPr>
        <w:t xml:space="preserve">. </w:t>
      </w:r>
      <w:r w:rsidR="0055181F" w:rsidRPr="00C12121">
        <w:rPr>
          <w:rFonts w:cs="Simplified Arabic" w:hint="cs"/>
          <w:color w:val="000000" w:themeColor="text1"/>
          <w:sz w:val="24"/>
          <w:szCs w:val="24"/>
          <w:rtl/>
        </w:rPr>
        <w:t xml:space="preserve"> </w:t>
      </w:r>
      <w:r w:rsidR="0055181F">
        <w:rPr>
          <w:rFonts w:cs="Simplified Arabic" w:hint="cs"/>
          <w:color w:val="000000" w:themeColor="text1"/>
          <w:sz w:val="24"/>
          <w:szCs w:val="24"/>
          <w:rtl/>
        </w:rPr>
        <w:t xml:space="preserve">وقد </w:t>
      </w:r>
      <w:r w:rsidR="00B45AC2" w:rsidRPr="00F33C8F">
        <w:rPr>
          <w:rFonts w:cs="Simplified Arabic" w:hint="cs"/>
          <w:color w:val="000000" w:themeColor="text1"/>
          <w:sz w:val="24"/>
          <w:szCs w:val="24"/>
          <w:rtl/>
        </w:rPr>
        <w:t xml:space="preserve">نتج الارتفاع </w:t>
      </w:r>
      <w:r w:rsidR="0055181F">
        <w:rPr>
          <w:rFonts w:cs="Simplified Arabic" w:hint="cs"/>
          <w:color w:val="000000" w:themeColor="text1"/>
          <w:sz w:val="24"/>
          <w:szCs w:val="24"/>
          <w:rtl/>
        </w:rPr>
        <w:t xml:space="preserve">في أسعار المستهلك في القدس </w:t>
      </w:r>
      <w:r w:rsidR="0055181F">
        <w:rPr>
          <w:rFonts w:cs="Simplified Arabic"/>
          <w:color w:val="000000" w:themeColor="text1"/>
          <w:sz w:val="24"/>
          <w:szCs w:val="24"/>
        </w:rPr>
        <w:t>J1</w:t>
      </w:r>
      <w:r w:rsidR="0055181F">
        <w:rPr>
          <w:rFonts w:cs="Simplified Arabic" w:hint="cs"/>
          <w:color w:val="000000" w:themeColor="text1"/>
          <w:sz w:val="24"/>
          <w:szCs w:val="24"/>
          <w:rtl/>
        </w:rPr>
        <w:t xml:space="preserve"> </w:t>
      </w:r>
      <w:r w:rsidR="00B45AC2" w:rsidRPr="00F33C8F">
        <w:rPr>
          <w:rFonts w:cs="Simplified Arabic" w:hint="cs"/>
          <w:color w:val="000000" w:themeColor="text1"/>
          <w:sz w:val="24"/>
          <w:szCs w:val="24"/>
          <w:rtl/>
        </w:rPr>
        <w:t>بصورة رئيسية عن ارتفاع أسعار مجموعة المواد</w:t>
      </w:r>
      <w:r w:rsidR="00B45AC2" w:rsidRPr="00165FD2">
        <w:rPr>
          <w:rFonts w:cs="Simplified Arabic" w:hint="cs"/>
          <w:color w:val="000000" w:themeColor="text1"/>
          <w:sz w:val="24"/>
          <w:szCs w:val="24"/>
          <w:rtl/>
        </w:rPr>
        <w:t xml:space="preserve"> الغذائية والمشروبات المرطبة بنسبة </w:t>
      </w:r>
      <w:r w:rsidR="00AC3E34" w:rsidRPr="00165FD2">
        <w:rPr>
          <w:rFonts w:cs="Simplified Arabic" w:hint="cs"/>
          <w:color w:val="000000" w:themeColor="text1"/>
          <w:sz w:val="24"/>
          <w:szCs w:val="24"/>
          <w:rtl/>
        </w:rPr>
        <w:t>3.17</w:t>
      </w:r>
      <w:r w:rsidR="00B45AC2" w:rsidRPr="00165FD2">
        <w:rPr>
          <w:rFonts w:cs="Simplified Arabic" w:hint="cs"/>
          <w:color w:val="000000" w:themeColor="text1"/>
          <w:sz w:val="24"/>
          <w:szCs w:val="24"/>
          <w:rtl/>
        </w:rPr>
        <w:t xml:space="preserve">%، وأسعار الاقمشة والملابس والاحذية بنسبة </w:t>
      </w:r>
      <w:r w:rsidR="00AC3E34" w:rsidRPr="00165FD2">
        <w:rPr>
          <w:rFonts w:cs="Simplified Arabic" w:hint="cs"/>
          <w:color w:val="000000" w:themeColor="text1"/>
          <w:sz w:val="24"/>
          <w:szCs w:val="24"/>
          <w:rtl/>
        </w:rPr>
        <w:t>8.77</w:t>
      </w:r>
      <w:r w:rsidR="00B45AC2" w:rsidRPr="00165FD2">
        <w:rPr>
          <w:rFonts w:cs="Simplified Arabic" w:hint="cs"/>
          <w:color w:val="000000" w:themeColor="text1"/>
          <w:sz w:val="24"/>
          <w:szCs w:val="24"/>
          <w:rtl/>
        </w:rPr>
        <w:t xml:space="preserve">%، وأسعار المشروبات الكحولية والتبغ بنسبة </w:t>
      </w:r>
      <w:r w:rsidR="00AC3E34" w:rsidRPr="00165FD2">
        <w:rPr>
          <w:rFonts w:cs="Simplified Arabic" w:hint="cs"/>
          <w:color w:val="000000" w:themeColor="text1"/>
          <w:sz w:val="24"/>
          <w:szCs w:val="24"/>
          <w:rtl/>
        </w:rPr>
        <w:t>10.09</w:t>
      </w:r>
      <w:r w:rsidR="00B45AC2" w:rsidRPr="00165FD2">
        <w:rPr>
          <w:rFonts w:cs="Simplified Arabic" w:hint="cs"/>
          <w:color w:val="000000" w:themeColor="text1"/>
          <w:sz w:val="24"/>
          <w:szCs w:val="24"/>
          <w:rtl/>
        </w:rPr>
        <w:t xml:space="preserve">%، واسعار مجموعة النقل والمواصلات بنسبة </w:t>
      </w:r>
      <w:r w:rsidR="00AC3E34" w:rsidRPr="00165FD2">
        <w:rPr>
          <w:rFonts w:cs="Simplified Arabic" w:hint="cs"/>
          <w:color w:val="000000" w:themeColor="text1"/>
          <w:sz w:val="24"/>
          <w:szCs w:val="24"/>
          <w:rtl/>
        </w:rPr>
        <w:t>8.37</w:t>
      </w:r>
      <w:r w:rsidR="00B45AC2" w:rsidRPr="00165FD2">
        <w:rPr>
          <w:rFonts w:cs="Simplified Arabic" w:hint="cs"/>
          <w:color w:val="000000" w:themeColor="text1"/>
          <w:sz w:val="24"/>
          <w:szCs w:val="24"/>
          <w:rtl/>
        </w:rPr>
        <w:t xml:space="preserve">%، واسعار المسكن ومستلزماته بنسبة </w:t>
      </w:r>
      <w:r w:rsidR="00AC3E34" w:rsidRPr="00165FD2">
        <w:rPr>
          <w:rFonts w:cs="Simplified Arabic" w:hint="cs"/>
          <w:color w:val="000000" w:themeColor="text1"/>
          <w:sz w:val="24"/>
          <w:szCs w:val="24"/>
          <w:rtl/>
        </w:rPr>
        <w:t>1.91</w:t>
      </w:r>
      <w:r w:rsidR="00B45AC2" w:rsidRPr="00165FD2">
        <w:rPr>
          <w:rFonts w:cs="Simplified Arabic" w:hint="cs"/>
          <w:color w:val="000000" w:themeColor="text1"/>
          <w:sz w:val="24"/>
          <w:szCs w:val="24"/>
          <w:rtl/>
        </w:rPr>
        <w:t xml:space="preserve">%. </w:t>
      </w:r>
      <w:r w:rsidR="00F33C8F">
        <w:rPr>
          <w:rFonts w:cs="Simplified Arabic" w:hint="cs"/>
          <w:b/>
          <w:bCs/>
          <w:color w:val="000000" w:themeColor="text1"/>
          <w:sz w:val="24"/>
          <w:szCs w:val="24"/>
          <w:rtl/>
        </w:rPr>
        <w:t xml:space="preserve"> </w:t>
      </w:r>
      <w:r w:rsidR="00F33C8F">
        <w:rPr>
          <w:rFonts w:cs="Simplified Arabic" w:hint="cs"/>
          <w:color w:val="000000" w:themeColor="text1"/>
          <w:sz w:val="24"/>
          <w:szCs w:val="24"/>
          <w:rtl/>
        </w:rPr>
        <w:t>بينما</w:t>
      </w:r>
      <w:r w:rsidR="00B45AC2" w:rsidRPr="00F33C8F">
        <w:rPr>
          <w:rFonts w:cs="Simplified Arabic" w:hint="cs"/>
          <w:color w:val="000000" w:themeColor="text1"/>
          <w:sz w:val="24"/>
          <w:szCs w:val="24"/>
          <w:rtl/>
        </w:rPr>
        <w:t xml:space="preserve"> نتج </w:t>
      </w:r>
      <w:r w:rsidR="0055181F">
        <w:rPr>
          <w:rFonts w:cs="Simplified Arabic" w:hint="cs"/>
          <w:color w:val="000000" w:themeColor="text1"/>
          <w:sz w:val="24"/>
          <w:szCs w:val="24"/>
          <w:rtl/>
        </w:rPr>
        <w:t xml:space="preserve">الارتفاع في أسعار الضفة الغربية </w:t>
      </w:r>
      <w:r w:rsidR="00B45AC2" w:rsidRPr="00F33C8F">
        <w:rPr>
          <w:rFonts w:cs="Simplified Arabic" w:hint="cs"/>
          <w:color w:val="000000" w:themeColor="text1"/>
          <w:sz w:val="24"/>
          <w:szCs w:val="24"/>
          <w:rtl/>
        </w:rPr>
        <w:t>بصورة رئيسية عن ارتفاع أسعار المواد</w:t>
      </w:r>
      <w:r w:rsidR="00B45AC2" w:rsidRPr="00165FD2">
        <w:rPr>
          <w:rFonts w:cs="Simplified Arabic" w:hint="cs"/>
          <w:color w:val="000000" w:themeColor="text1"/>
          <w:sz w:val="24"/>
          <w:szCs w:val="24"/>
          <w:rtl/>
        </w:rPr>
        <w:t xml:space="preserve"> الغذائية والمشرويات المرطبة بنسبة </w:t>
      </w:r>
      <w:r w:rsidR="00AC3E34" w:rsidRPr="00165FD2">
        <w:rPr>
          <w:rFonts w:cs="Simplified Arabic" w:hint="cs"/>
          <w:color w:val="000000" w:themeColor="text1"/>
          <w:sz w:val="24"/>
          <w:szCs w:val="24"/>
          <w:rtl/>
        </w:rPr>
        <w:t>2.71</w:t>
      </w:r>
      <w:r w:rsidR="00B45AC2" w:rsidRPr="00165FD2">
        <w:rPr>
          <w:rFonts w:cs="Simplified Arabic" w:hint="cs"/>
          <w:color w:val="000000" w:themeColor="text1"/>
          <w:sz w:val="24"/>
          <w:szCs w:val="24"/>
          <w:rtl/>
        </w:rPr>
        <w:t xml:space="preserve">%، وأسعار المشروبات الكحولية والتبغ بنسبة </w:t>
      </w:r>
      <w:r w:rsidR="00AC3E34" w:rsidRPr="00165FD2">
        <w:rPr>
          <w:rFonts w:cs="Simplified Arabic" w:hint="cs"/>
          <w:color w:val="000000" w:themeColor="text1"/>
          <w:sz w:val="24"/>
          <w:szCs w:val="24"/>
          <w:rtl/>
        </w:rPr>
        <w:t>7.43</w:t>
      </w:r>
      <w:r w:rsidR="00B45AC2" w:rsidRPr="00165FD2">
        <w:rPr>
          <w:rFonts w:cs="Simplified Arabic" w:hint="cs"/>
          <w:color w:val="000000" w:themeColor="text1"/>
          <w:sz w:val="24"/>
          <w:szCs w:val="24"/>
          <w:rtl/>
        </w:rPr>
        <w:t xml:space="preserve">%، وأسعار المسكن ومستلزماته بنسبة </w:t>
      </w:r>
      <w:r w:rsidR="00AC3E34" w:rsidRPr="00165FD2">
        <w:rPr>
          <w:rFonts w:cs="Simplified Arabic" w:hint="cs"/>
          <w:color w:val="000000" w:themeColor="text1"/>
          <w:sz w:val="24"/>
          <w:szCs w:val="24"/>
          <w:rtl/>
        </w:rPr>
        <w:t>3.55</w:t>
      </w:r>
      <w:r w:rsidR="00B45AC2" w:rsidRPr="00165FD2">
        <w:rPr>
          <w:rFonts w:cs="Simplified Arabic" w:hint="cs"/>
          <w:color w:val="000000" w:themeColor="text1"/>
          <w:sz w:val="24"/>
          <w:szCs w:val="24"/>
          <w:rtl/>
        </w:rPr>
        <w:t xml:space="preserve">%، وأسعار النقل والمواصلات بنسبة </w:t>
      </w:r>
      <w:r w:rsidR="00AC3E34" w:rsidRPr="00165FD2">
        <w:rPr>
          <w:rFonts w:cs="Simplified Arabic" w:hint="cs"/>
          <w:color w:val="000000" w:themeColor="text1"/>
          <w:sz w:val="24"/>
          <w:szCs w:val="24"/>
          <w:rtl/>
        </w:rPr>
        <w:t>5.02</w:t>
      </w:r>
      <w:r w:rsidR="00B45AC2" w:rsidRPr="00165FD2">
        <w:rPr>
          <w:rFonts w:cs="Simplified Arabic" w:hint="cs"/>
          <w:color w:val="000000" w:themeColor="text1"/>
          <w:sz w:val="24"/>
          <w:szCs w:val="24"/>
          <w:rtl/>
        </w:rPr>
        <w:t xml:space="preserve">%، وأسعار خدمات التعليم بنسبة </w:t>
      </w:r>
      <w:r w:rsidR="00AC3E34" w:rsidRPr="00165FD2">
        <w:rPr>
          <w:rFonts w:cs="Simplified Arabic" w:hint="cs"/>
          <w:color w:val="000000" w:themeColor="text1"/>
          <w:sz w:val="24"/>
          <w:szCs w:val="24"/>
          <w:rtl/>
        </w:rPr>
        <w:t>2.86</w:t>
      </w:r>
      <w:r w:rsidR="00B45AC2" w:rsidRPr="00C12121">
        <w:rPr>
          <w:rFonts w:cs="Simplified Arabic" w:hint="cs"/>
          <w:color w:val="000000" w:themeColor="text1"/>
          <w:sz w:val="24"/>
          <w:szCs w:val="24"/>
          <w:rtl/>
        </w:rPr>
        <w:t xml:space="preserve">%. </w:t>
      </w:r>
      <w:r w:rsidR="00F33C8F" w:rsidRPr="00C12121">
        <w:rPr>
          <w:rFonts w:cs="Simplified Arabic" w:hint="cs"/>
          <w:color w:val="000000" w:themeColor="text1"/>
          <w:sz w:val="24"/>
          <w:szCs w:val="24"/>
          <w:rtl/>
        </w:rPr>
        <w:t xml:space="preserve"> </w:t>
      </w:r>
      <w:r w:rsidR="0055181F">
        <w:rPr>
          <w:rFonts w:cs="Simplified Arabic" w:hint="cs"/>
          <w:color w:val="000000" w:themeColor="text1"/>
          <w:sz w:val="24"/>
          <w:szCs w:val="24"/>
          <w:rtl/>
        </w:rPr>
        <w:t xml:space="preserve">أما في قطاع غزة، فقد </w:t>
      </w:r>
      <w:r w:rsidR="00B45AC2" w:rsidRPr="00C12121">
        <w:rPr>
          <w:rFonts w:cs="Simplified Arabic" w:hint="cs"/>
          <w:color w:val="000000" w:themeColor="text1"/>
          <w:sz w:val="24"/>
          <w:szCs w:val="24"/>
          <w:rtl/>
        </w:rPr>
        <w:t xml:space="preserve">ارتفعت أسعار المسكن ومستلزماته بنسبة </w:t>
      </w:r>
      <w:r w:rsidR="00AC3E34" w:rsidRPr="00C12121">
        <w:rPr>
          <w:rFonts w:cs="Simplified Arabic" w:hint="cs"/>
          <w:color w:val="000000" w:themeColor="text1"/>
          <w:sz w:val="24"/>
          <w:szCs w:val="24"/>
          <w:rtl/>
        </w:rPr>
        <w:t>3.33</w:t>
      </w:r>
      <w:r w:rsidR="00B45AC2" w:rsidRPr="00C12121">
        <w:rPr>
          <w:rFonts w:cs="Simplified Arabic" w:hint="cs"/>
          <w:color w:val="000000" w:themeColor="text1"/>
          <w:sz w:val="24"/>
          <w:szCs w:val="24"/>
          <w:rtl/>
        </w:rPr>
        <w:t>%، واسعار</w:t>
      </w:r>
      <w:r w:rsidR="00B45AC2" w:rsidRPr="00165FD2">
        <w:rPr>
          <w:rFonts w:cs="Simplified Arabic" w:hint="cs"/>
          <w:color w:val="000000" w:themeColor="text1"/>
          <w:sz w:val="24"/>
          <w:szCs w:val="24"/>
          <w:rtl/>
        </w:rPr>
        <w:t xml:space="preserve"> الاثاث والمفروشات والسلع المنزلية</w:t>
      </w:r>
      <w:r w:rsidR="00AC3E34" w:rsidRPr="00165FD2">
        <w:rPr>
          <w:rFonts w:cs="Simplified Arabic" w:hint="cs"/>
          <w:color w:val="000000" w:themeColor="text1"/>
          <w:sz w:val="24"/>
          <w:szCs w:val="24"/>
          <w:rtl/>
        </w:rPr>
        <w:t xml:space="preserve"> انخفضت</w:t>
      </w:r>
      <w:r w:rsidR="00B45AC2" w:rsidRPr="00165FD2">
        <w:rPr>
          <w:rFonts w:cs="Simplified Arabic" w:hint="cs"/>
          <w:color w:val="000000" w:themeColor="text1"/>
          <w:sz w:val="24"/>
          <w:szCs w:val="24"/>
          <w:rtl/>
        </w:rPr>
        <w:t xml:space="preserve"> بنسبة </w:t>
      </w:r>
      <w:r w:rsidR="00AC3E34" w:rsidRPr="00165FD2">
        <w:rPr>
          <w:rFonts w:cs="Simplified Arabic" w:hint="cs"/>
          <w:color w:val="000000" w:themeColor="text1"/>
          <w:sz w:val="24"/>
          <w:szCs w:val="24"/>
          <w:rtl/>
        </w:rPr>
        <w:t>6.20</w:t>
      </w:r>
      <w:r w:rsidR="00B45AC2" w:rsidRPr="00165FD2">
        <w:rPr>
          <w:rFonts w:cs="Simplified Arabic" w:hint="cs"/>
          <w:color w:val="000000" w:themeColor="text1"/>
          <w:sz w:val="24"/>
          <w:szCs w:val="24"/>
          <w:rtl/>
        </w:rPr>
        <w:t xml:space="preserve">%، </w:t>
      </w:r>
      <w:r w:rsidR="0055181F">
        <w:rPr>
          <w:rFonts w:cs="Simplified Arabic" w:hint="cs"/>
          <w:color w:val="000000" w:themeColor="text1"/>
          <w:sz w:val="24"/>
          <w:szCs w:val="24"/>
          <w:rtl/>
        </w:rPr>
        <w:t xml:space="preserve">بينما </w:t>
      </w:r>
      <w:r w:rsidR="00AC3E34" w:rsidRPr="00165FD2">
        <w:rPr>
          <w:rFonts w:cs="Simplified Arabic" w:hint="cs"/>
          <w:color w:val="000000" w:themeColor="text1"/>
          <w:sz w:val="24"/>
          <w:szCs w:val="24"/>
          <w:rtl/>
        </w:rPr>
        <w:t xml:space="preserve">سجلت </w:t>
      </w:r>
      <w:r w:rsidR="00B45AC2" w:rsidRPr="00165FD2">
        <w:rPr>
          <w:rFonts w:cs="Simplified Arabic" w:hint="cs"/>
          <w:color w:val="000000" w:themeColor="text1"/>
          <w:sz w:val="24"/>
          <w:szCs w:val="24"/>
          <w:rtl/>
        </w:rPr>
        <w:t>أسعار خدمات التعليم</w:t>
      </w:r>
      <w:r w:rsidR="00AC3E34" w:rsidRPr="00165FD2">
        <w:rPr>
          <w:rFonts w:cs="Simplified Arabic" w:hint="cs"/>
          <w:color w:val="000000" w:themeColor="text1"/>
          <w:sz w:val="24"/>
          <w:szCs w:val="24"/>
          <w:rtl/>
        </w:rPr>
        <w:t xml:space="preserve"> ارتفاعاً</w:t>
      </w:r>
      <w:r w:rsidR="00B45AC2" w:rsidRPr="00165FD2">
        <w:rPr>
          <w:rFonts w:cs="Simplified Arabic" w:hint="cs"/>
          <w:color w:val="000000" w:themeColor="text1"/>
          <w:sz w:val="24"/>
          <w:szCs w:val="24"/>
          <w:rtl/>
        </w:rPr>
        <w:t xml:space="preserve"> بنسبة </w:t>
      </w:r>
      <w:r w:rsidR="00AC3E34" w:rsidRPr="00165FD2">
        <w:rPr>
          <w:rFonts w:cs="Simplified Arabic" w:hint="cs"/>
          <w:color w:val="000000" w:themeColor="text1"/>
          <w:sz w:val="24"/>
          <w:szCs w:val="24"/>
          <w:rtl/>
        </w:rPr>
        <w:t>0.45</w:t>
      </w:r>
      <w:r w:rsidR="00B45AC2" w:rsidRPr="00165FD2">
        <w:rPr>
          <w:rFonts w:cs="Simplified Arabic" w:hint="cs"/>
          <w:color w:val="000000" w:themeColor="text1"/>
          <w:sz w:val="24"/>
          <w:szCs w:val="24"/>
          <w:rtl/>
        </w:rPr>
        <w:t xml:space="preserve">%، وأسعار المشروبات الكحولية والتبغ بنسبة </w:t>
      </w:r>
      <w:r w:rsidR="00AC3E34" w:rsidRPr="00165FD2">
        <w:rPr>
          <w:rFonts w:cs="Simplified Arabic" w:hint="cs"/>
          <w:color w:val="000000" w:themeColor="text1"/>
          <w:sz w:val="24"/>
          <w:szCs w:val="24"/>
          <w:rtl/>
        </w:rPr>
        <w:t>0.41</w:t>
      </w:r>
      <w:r w:rsidR="00B45AC2" w:rsidRPr="00165FD2">
        <w:rPr>
          <w:rFonts w:cs="Simplified Arabic" w:hint="cs"/>
          <w:color w:val="000000" w:themeColor="text1"/>
          <w:sz w:val="24"/>
          <w:szCs w:val="24"/>
          <w:rtl/>
        </w:rPr>
        <w:t xml:space="preserve">%. </w:t>
      </w:r>
    </w:p>
    <w:p w:rsidR="00C12121" w:rsidRPr="00605AEC" w:rsidRDefault="001D731D" w:rsidP="007254CC">
      <w:pPr>
        <w:spacing w:before="240"/>
        <w:jc w:val="both"/>
        <w:rPr>
          <w:rFonts w:cs="Simplified Arabic"/>
          <w:color w:val="000000" w:themeColor="text1"/>
          <w:rtl/>
        </w:rPr>
      </w:pPr>
      <w:r w:rsidRPr="001D731D">
        <w:rPr>
          <w:rFonts w:cs="Simplified Arabic" w:hint="cs"/>
          <w:b/>
          <w:bCs/>
          <w:color w:val="000000" w:themeColor="text1"/>
          <w:rtl/>
        </w:rPr>
        <w:lastRenderedPageBreak/>
        <w:t xml:space="preserve">وتعتمد مرونة التغير في أسعار المستهلك على </w:t>
      </w:r>
      <w:r>
        <w:rPr>
          <w:rFonts w:cs="Simplified Arabic" w:hint="cs"/>
          <w:b/>
          <w:bCs/>
          <w:color w:val="000000" w:themeColor="text1"/>
          <w:rtl/>
        </w:rPr>
        <w:t>الوزن النسبي</w:t>
      </w:r>
      <w:r w:rsidRPr="001D731D">
        <w:rPr>
          <w:rFonts w:cs="Simplified Arabic" w:hint="cs"/>
          <w:b/>
          <w:bCs/>
          <w:color w:val="000000" w:themeColor="text1"/>
          <w:rtl/>
        </w:rPr>
        <w:t xml:space="preserve"> للمجموعات التي يتشكل منها الرقم القياسي. </w:t>
      </w:r>
      <w:r w:rsidR="0055181F">
        <w:rPr>
          <w:rFonts w:cs="Simplified Arabic" w:hint="cs"/>
          <w:color w:val="000000" w:themeColor="text1"/>
          <w:rtl/>
        </w:rPr>
        <w:t xml:space="preserve">وكما يتضح من جدول 5، </w:t>
      </w:r>
      <w:r w:rsidR="00C12121" w:rsidRPr="001D731D">
        <w:rPr>
          <w:rFonts w:cs="Simplified Arabic" w:hint="cs"/>
          <w:color w:val="000000" w:themeColor="text1"/>
          <w:rtl/>
        </w:rPr>
        <w:t>تشكل</w:t>
      </w:r>
      <w:r w:rsidRPr="001D731D">
        <w:rPr>
          <w:rFonts w:cs="Simplified Arabic" w:hint="cs"/>
          <w:color w:val="000000" w:themeColor="text1"/>
          <w:rtl/>
        </w:rPr>
        <w:t xml:space="preserve"> مجموعة</w:t>
      </w:r>
      <w:r w:rsidR="00C12121" w:rsidRPr="001D731D">
        <w:rPr>
          <w:rFonts w:cs="Simplified Arabic" w:hint="cs"/>
          <w:color w:val="000000" w:themeColor="text1"/>
          <w:rtl/>
        </w:rPr>
        <w:t xml:space="preserve"> المواد الغذائية والمشروبات المرطبة أعلى وزن نسبي </w:t>
      </w:r>
      <w:r w:rsidR="0055181F">
        <w:rPr>
          <w:rFonts w:cs="Simplified Arabic" w:hint="cs"/>
          <w:color w:val="000000" w:themeColor="text1"/>
          <w:rtl/>
        </w:rPr>
        <w:t>في سلة المستهلك</w:t>
      </w:r>
      <w:r w:rsidR="00C12121" w:rsidRPr="001D731D">
        <w:rPr>
          <w:rFonts w:cs="Simplified Arabic" w:hint="cs"/>
          <w:color w:val="000000" w:themeColor="text1"/>
          <w:rtl/>
        </w:rPr>
        <w:t xml:space="preserve"> في الأراضي الفلسطينية</w:t>
      </w:r>
      <w:r w:rsidR="0055181F">
        <w:rPr>
          <w:rFonts w:cs="Simplified Arabic" w:hint="cs"/>
          <w:color w:val="000000" w:themeColor="text1"/>
          <w:rtl/>
        </w:rPr>
        <w:t xml:space="preserve"> حيث تستحوذ على </w:t>
      </w:r>
      <w:r w:rsidR="00C12121" w:rsidRPr="00165FD2">
        <w:rPr>
          <w:rFonts w:cs="Simplified Arabic" w:hint="cs"/>
          <w:color w:val="000000" w:themeColor="text1"/>
          <w:rtl/>
        </w:rPr>
        <w:t xml:space="preserve">37.6% </w:t>
      </w:r>
      <w:r w:rsidR="0055181F">
        <w:rPr>
          <w:rFonts w:cs="Simplified Arabic" w:hint="cs"/>
          <w:color w:val="000000" w:themeColor="text1"/>
          <w:rtl/>
        </w:rPr>
        <w:t xml:space="preserve">من سلة المستهلك، </w:t>
      </w:r>
      <w:r w:rsidR="00232DB7">
        <w:rPr>
          <w:rFonts w:cs="Simplified Arabic" w:hint="cs"/>
          <w:color w:val="000000" w:themeColor="text1"/>
          <w:rtl/>
        </w:rPr>
        <w:t xml:space="preserve">يليها </w:t>
      </w:r>
      <w:r w:rsidR="00C12121" w:rsidRPr="00165FD2">
        <w:rPr>
          <w:rFonts w:cs="Simplified Arabic" w:hint="cs"/>
          <w:color w:val="000000" w:themeColor="text1"/>
          <w:rtl/>
        </w:rPr>
        <w:t xml:space="preserve">المسكن بنسبة 10.4% </w:t>
      </w:r>
      <w:r w:rsidR="00232DB7">
        <w:rPr>
          <w:rFonts w:cs="Simplified Arabic" w:hint="cs"/>
          <w:color w:val="000000" w:themeColor="text1"/>
          <w:rtl/>
        </w:rPr>
        <w:t>ثم</w:t>
      </w:r>
      <w:r w:rsidR="00232DB7" w:rsidRPr="00165FD2">
        <w:rPr>
          <w:rFonts w:cs="Simplified Arabic" w:hint="cs"/>
          <w:color w:val="000000" w:themeColor="text1"/>
          <w:rtl/>
        </w:rPr>
        <w:t xml:space="preserve"> </w:t>
      </w:r>
      <w:r w:rsidR="00232DB7">
        <w:rPr>
          <w:rFonts w:cs="Simplified Arabic" w:hint="cs"/>
          <w:color w:val="000000" w:themeColor="text1"/>
          <w:rtl/>
        </w:rPr>
        <w:t>النقل والمواصلات</w:t>
      </w:r>
      <w:r w:rsidR="00C12121" w:rsidRPr="00165FD2">
        <w:rPr>
          <w:rFonts w:cs="Simplified Arabic" w:hint="cs"/>
          <w:color w:val="000000" w:themeColor="text1"/>
          <w:rtl/>
        </w:rPr>
        <w:t xml:space="preserve"> </w:t>
      </w:r>
      <w:r w:rsidR="00232DB7">
        <w:rPr>
          <w:rFonts w:cs="Simplified Arabic" w:hint="cs"/>
          <w:color w:val="000000" w:themeColor="text1"/>
          <w:rtl/>
        </w:rPr>
        <w:t>بحوالي</w:t>
      </w:r>
      <w:r w:rsidR="00232DB7" w:rsidRPr="00165FD2">
        <w:rPr>
          <w:rFonts w:cs="Simplified Arabic" w:hint="cs"/>
          <w:color w:val="000000" w:themeColor="text1"/>
          <w:rtl/>
        </w:rPr>
        <w:t xml:space="preserve"> </w:t>
      </w:r>
      <w:r w:rsidR="00C12121" w:rsidRPr="00165FD2">
        <w:rPr>
          <w:rFonts w:cs="Simplified Arabic" w:hint="cs"/>
          <w:color w:val="000000" w:themeColor="text1"/>
          <w:rtl/>
        </w:rPr>
        <w:t xml:space="preserve">9.9% والملبس </w:t>
      </w:r>
      <w:r w:rsidR="00232DB7">
        <w:rPr>
          <w:rFonts w:cs="Simplified Arabic" w:hint="cs"/>
          <w:color w:val="000000" w:themeColor="text1"/>
          <w:rtl/>
        </w:rPr>
        <w:t>بحوالي</w:t>
      </w:r>
      <w:r w:rsidR="00232DB7" w:rsidRPr="00165FD2">
        <w:rPr>
          <w:rFonts w:cs="Simplified Arabic" w:hint="cs"/>
          <w:color w:val="000000" w:themeColor="text1"/>
          <w:rtl/>
        </w:rPr>
        <w:t xml:space="preserve"> </w:t>
      </w:r>
      <w:r w:rsidR="00C12121">
        <w:rPr>
          <w:rFonts w:cs="Simplified Arabic" w:hint="cs"/>
          <w:color w:val="000000" w:themeColor="text1"/>
          <w:rtl/>
        </w:rPr>
        <w:t>7.0</w:t>
      </w:r>
      <w:r w:rsidR="00C12121" w:rsidRPr="00165FD2">
        <w:rPr>
          <w:rFonts w:cs="Simplified Arabic" w:hint="cs"/>
          <w:color w:val="000000" w:themeColor="text1"/>
          <w:rtl/>
        </w:rPr>
        <w:t xml:space="preserve">%، </w:t>
      </w:r>
      <w:r w:rsidR="00232DB7">
        <w:rPr>
          <w:rFonts w:cs="Simplified Arabic" w:hint="cs"/>
          <w:color w:val="000000" w:themeColor="text1"/>
          <w:rtl/>
        </w:rPr>
        <w:t>بينما تحتل خدمات التعليم و</w:t>
      </w:r>
      <w:r w:rsidR="00C12121" w:rsidRPr="00165FD2">
        <w:rPr>
          <w:rFonts w:cs="Simplified Arabic" w:hint="cs"/>
          <w:color w:val="000000" w:themeColor="text1"/>
          <w:rtl/>
        </w:rPr>
        <w:t>خدمات المطاعم والمقاهي</w:t>
      </w:r>
      <w:r w:rsidR="00232DB7">
        <w:rPr>
          <w:rFonts w:cs="Simplified Arabic" w:hint="cs"/>
          <w:color w:val="000000" w:themeColor="text1"/>
          <w:rtl/>
        </w:rPr>
        <w:t xml:space="preserve"> والفنادق نسبة متدنية من سلة المستهلك</w:t>
      </w:r>
      <w:r w:rsidR="00972411">
        <w:rPr>
          <w:rFonts w:cs="Simplified Arabic" w:hint="cs"/>
          <w:color w:val="000000" w:themeColor="text1"/>
          <w:rtl/>
        </w:rPr>
        <w:t>.</w:t>
      </w:r>
    </w:p>
    <w:p w:rsidR="00C12121" w:rsidRDefault="00C12121">
      <w:pPr>
        <w:jc w:val="center"/>
        <w:rPr>
          <w:rFonts w:cs="Simplified Arabic"/>
          <w:b/>
          <w:bCs/>
          <w:color w:val="000000" w:themeColor="text1"/>
          <w:sz w:val="22"/>
          <w:szCs w:val="22"/>
          <w:rtl/>
        </w:rPr>
      </w:pPr>
    </w:p>
    <w:p w:rsidR="00F63205" w:rsidRPr="00165FD2" w:rsidRDefault="00B45AC2" w:rsidP="00F21D27">
      <w:pPr>
        <w:jc w:val="center"/>
        <w:rPr>
          <w:rFonts w:cs="Simplified Arabic"/>
          <w:b/>
          <w:bCs/>
          <w:color w:val="000000" w:themeColor="text1"/>
          <w:sz w:val="22"/>
          <w:szCs w:val="22"/>
          <w:rtl/>
        </w:rPr>
      </w:pPr>
      <w:r w:rsidRPr="00165FD2">
        <w:rPr>
          <w:rFonts w:cs="Simplified Arabic" w:hint="cs"/>
          <w:b/>
          <w:bCs/>
          <w:color w:val="000000" w:themeColor="text1"/>
          <w:sz w:val="22"/>
          <w:szCs w:val="22"/>
          <w:rtl/>
        </w:rPr>
        <w:t>جدول</w:t>
      </w:r>
      <w:r w:rsidR="00F21D27">
        <w:rPr>
          <w:rFonts w:cs="Simplified Arabic" w:hint="cs"/>
          <w:b/>
          <w:bCs/>
          <w:color w:val="000000" w:themeColor="text1"/>
          <w:sz w:val="22"/>
          <w:szCs w:val="22"/>
          <w:rtl/>
        </w:rPr>
        <w:t xml:space="preserve"> 5</w:t>
      </w:r>
      <w:r w:rsidRPr="00165FD2">
        <w:rPr>
          <w:rFonts w:cs="Simplified Arabic" w:hint="cs"/>
          <w:b/>
          <w:bCs/>
          <w:color w:val="000000" w:themeColor="text1"/>
          <w:sz w:val="22"/>
          <w:szCs w:val="22"/>
          <w:rtl/>
        </w:rPr>
        <w:t xml:space="preserve">: الرقم القياسي لأسعار المستهلك والوزن النسبي حسب المجموعات الرئيسية </w:t>
      </w:r>
    </w:p>
    <w:p w:rsidR="00F63205" w:rsidRPr="00165FD2" w:rsidRDefault="00B45AC2" w:rsidP="00B837BD">
      <w:pPr>
        <w:jc w:val="center"/>
        <w:rPr>
          <w:rFonts w:cs="Simplified Arabic"/>
          <w:b/>
          <w:bCs/>
          <w:color w:val="000000" w:themeColor="text1"/>
          <w:sz w:val="22"/>
          <w:szCs w:val="22"/>
          <w:rtl/>
        </w:rPr>
      </w:pPr>
      <w:r w:rsidRPr="00165FD2">
        <w:rPr>
          <w:rFonts w:cs="Simplified Arabic" w:hint="cs"/>
          <w:b/>
          <w:bCs/>
          <w:color w:val="000000" w:themeColor="text1"/>
          <w:sz w:val="22"/>
          <w:szCs w:val="22"/>
          <w:rtl/>
        </w:rPr>
        <w:t>لأسعار المستهلك في الأراضي الفلسطينية، (20</w:t>
      </w:r>
      <w:r w:rsidR="00462C6C" w:rsidRPr="00165FD2">
        <w:rPr>
          <w:rFonts w:cs="Simplified Arabic" w:hint="cs"/>
          <w:b/>
          <w:bCs/>
          <w:color w:val="000000" w:themeColor="text1"/>
          <w:sz w:val="22"/>
          <w:szCs w:val="22"/>
          <w:rtl/>
        </w:rPr>
        <w:t>10</w:t>
      </w:r>
      <w:r w:rsidR="00B837BD">
        <w:rPr>
          <w:rFonts w:cs="Simplified Arabic" w:hint="cs"/>
          <w:b/>
          <w:bCs/>
          <w:color w:val="000000" w:themeColor="text1"/>
          <w:sz w:val="22"/>
          <w:szCs w:val="22"/>
          <w:rtl/>
        </w:rPr>
        <w:t xml:space="preserve">، </w:t>
      </w:r>
      <w:r w:rsidRPr="00165FD2">
        <w:rPr>
          <w:rFonts w:cs="Simplified Arabic" w:hint="cs"/>
          <w:b/>
          <w:bCs/>
          <w:color w:val="000000" w:themeColor="text1"/>
          <w:sz w:val="22"/>
          <w:szCs w:val="22"/>
          <w:rtl/>
        </w:rPr>
        <w:t>201</w:t>
      </w:r>
      <w:r w:rsidR="00462C6C" w:rsidRPr="00165FD2">
        <w:rPr>
          <w:rFonts w:cs="Simplified Arabic" w:hint="cs"/>
          <w:b/>
          <w:bCs/>
          <w:color w:val="000000" w:themeColor="text1"/>
          <w:sz w:val="22"/>
          <w:szCs w:val="22"/>
          <w:rtl/>
        </w:rPr>
        <w:t>1</w:t>
      </w:r>
      <w:r w:rsidRPr="00165FD2">
        <w:rPr>
          <w:rFonts w:cs="Simplified Arabic" w:hint="cs"/>
          <w:b/>
          <w:bCs/>
          <w:color w:val="000000" w:themeColor="text1"/>
          <w:sz w:val="22"/>
          <w:szCs w:val="22"/>
          <w:rtl/>
        </w:rPr>
        <w:t xml:space="preserve">) </w:t>
      </w:r>
    </w:p>
    <w:tbl>
      <w:tblPr>
        <w:bidiVisual/>
        <w:tblW w:w="0" w:type="auto"/>
        <w:jc w:val="center"/>
        <w:tblLook w:val="04A0"/>
      </w:tblPr>
      <w:tblGrid>
        <w:gridCol w:w="3638"/>
        <w:gridCol w:w="1292"/>
        <w:gridCol w:w="1292"/>
        <w:gridCol w:w="1148"/>
        <w:gridCol w:w="1257"/>
      </w:tblGrid>
      <w:tr w:rsidR="00265E1A" w:rsidRPr="00165FD2" w:rsidTr="00E00BA3">
        <w:trPr>
          <w:trHeight w:val="508"/>
          <w:jc w:val="center"/>
        </w:trPr>
        <w:tc>
          <w:tcPr>
            <w:tcW w:w="3638" w:type="dxa"/>
            <w:tcBorders>
              <w:top w:val="single" w:sz="12" w:space="0" w:color="auto"/>
              <w:bottom w:val="single" w:sz="12" w:space="0" w:color="auto"/>
            </w:tcBorders>
            <w:vAlign w:val="center"/>
          </w:tcPr>
          <w:p w:rsidR="00265E1A" w:rsidRPr="00FB36FA" w:rsidRDefault="00265E1A" w:rsidP="00FB36F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المجموعات الرئيسية</w:t>
            </w:r>
          </w:p>
        </w:tc>
        <w:tc>
          <w:tcPr>
            <w:tcW w:w="1292" w:type="dxa"/>
            <w:tcBorders>
              <w:top w:val="single" w:sz="12" w:space="0" w:color="auto"/>
              <w:bottom w:val="single" w:sz="12" w:space="0" w:color="auto"/>
            </w:tcBorders>
            <w:vAlign w:val="center"/>
          </w:tcPr>
          <w:p w:rsidR="00265E1A" w:rsidRPr="00FB36FA" w:rsidRDefault="00265E1A" w:rsidP="00AC3E34">
            <w:pPr>
              <w:bidi w:val="0"/>
              <w:jc w:val="center"/>
              <w:rPr>
                <w:rFonts w:ascii="Arial" w:hAnsi="Arial" w:cs="Arial"/>
                <w:b/>
                <w:bCs/>
                <w:color w:val="000000" w:themeColor="text1"/>
                <w:sz w:val="18"/>
                <w:szCs w:val="18"/>
                <w:rtl/>
              </w:rPr>
            </w:pPr>
            <w:r w:rsidRPr="00FB36FA">
              <w:rPr>
                <w:rFonts w:ascii="Arial" w:hAnsi="Arial" w:cs="Arial"/>
                <w:b/>
                <w:bCs/>
                <w:color w:val="000000" w:themeColor="text1"/>
                <w:sz w:val="18"/>
                <w:szCs w:val="18"/>
                <w:rtl/>
              </w:rPr>
              <w:t>الرقم القياسي 20</w:t>
            </w:r>
            <w:r w:rsidR="00AC3E34" w:rsidRPr="00FB36FA">
              <w:rPr>
                <w:rFonts w:ascii="Arial" w:hAnsi="Arial" w:cs="Arial"/>
                <w:b/>
                <w:bCs/>
                <w:color w:val="000000" w:themeColor="text1"/>
                <w:sz w:val="18"/>
                <w:szCs w:val="18"/>
                <w:rtl/>
              </w:rPr>
              <w:t>10</w:t>
            </w:r>
          </w:p>
        </w:tc>
        <w:tc>
          <w:tcPr>
            <w:tcW w:w="1292" w:type="dxa"/>
            <w:tcBorders>
              <w:top w:val="single" w:sz="12" w:space="0" w:color="auto"/>
              <w:bottom w:val="single" w:sz="12" w:space="0" w:color="auto"/>
            </w:tcBorders>
            <w:vAlign w:val="center"/>
          </w:tcPr>
          <w:p w:rsidR="00265E1A" w:rsidRPr="00FB36FA" w:rsidRDefault="00265E1A" w:rsidP="00AC3E34">
            <w:pPr>
              <w:bidi w:val="0"/>
              <w:jc w:val="center"/>
              <w:rPr>
                <w:rFonts w:ascii="Arial" w:hAnsi="Arial" w:cs="Arial"/>
                <w:b/>
                <w:bCs/>
                <w:color w:val="000000" w:themeColor="text1"/>
                <w:sz w:val="18"/>
                <w:szCs w:val="18"/>
                <w:rtl/>
              </w:rPr>
            </w:pPr>
            <w:r w:rsidRPr="00FB36FA">
              <w:rPr>
                <w:rFonts w:ascii="Arial" w:hAnsi="Arial" w:cs="Arial"/>
                <w:b/>
                <w:bCs/>
                <w:color w:val="000000" w:themeColor="text1"/>
                <w:sz w:val="18"/>
                <w:szCs w:val="18"/>
                <w:rtl/>
              </w:rPr>
              <w:t>الرقم القياسي 201</w:t>
            </w:r>
            <w:r w:rsidR="00AC3E34" w:rsidRPr="00FB36FA">
              <w:rPr>
                <w:rFonts w:ascii="Arial" w:hAnsi="Arial" w:cs="Arial"/>
                <w:b/>
                <w:bCs/>
                <w:color w:val="000000" w:themeColor="text1"/>
                <w:sz w:val="18"/>
                <w:szCs w:val="18"/>
                <w:rtl/>
              </w:rPr>
              <w:t>1</w:t>
            </w:r>
          </w:p>
        </w:tc>
        <w:tc>
          <w:tcPr>
            <w:tcW w:w="1148" w:type="dxa"/>
            <w:tcBorders>
              <w:top w:val="single" w:sz="12" w:space="0" w:color="auto"/>
              <w:bottom w:val="single" w:sz="12" w:space="0" w:color="auto"/>
            </w:tcBorders>
            <w:vAlign w:val="center"/>
          </w:tcPr>
          <w:p w:rsidR="00265E1A" w:rsidRPr="00FB36FA" w:rsidRDefault="00265E1A">
            <w:pPr>
              <w:bidi w:val="0"/>
              <w:jc w:val="center"/>
              <w:rPr>
                <w:rFonts w:ascii="Arial" w:hAnsi="Arial" w:cs="Arial"/>
                <w:b/>
                <w:bCs/>
                <w:color w:val="000000" w:themeColor="text1"/>
                <w:sz w:val="18"/>
                <w:szCs w:val="18"/>
                <w:rtl/>
              </w:rPr>
            </w:pPr>
            <w:r w:rsidRPr="00FB36FA">
              <w:rPr>
                <w:rFonts w:ascii="Arial" w:hAnsi="Arial" w:cs="Arial"/>
                <w:b/>
                <w:bCs/>
                <w:color w:val="000000" w:themeColor="text1"/>
                <w:sz w:val="18"/>
                <w:szCs w:val="18"/>
                <w:rtl/>
              </w:rPr>
              <w:t>نسبة التغير</w:t>
            </w:r>
          </w:p>
        </w:tc>
        <w:tc>
          <w:tcPr>
            <w:tcW w:w="1257" w:type="dxa"/>
            <w:tcBorders>
              <w:top w:val="single" w:sz="12" w:space="0" w:color="auto"/>
              <w:bottom w:val="single" w:sz="12" w:space="0" w:color="auto"/>
            </w:tcBorders>
            <w:vAlign w:val="center"/>
          </w:tcPr>
          <w:p w:rsidR="00265E1A" w:rsidRPr="00FB36FA" w:rsidRDefault="00265E1A">
            <w:pPr>
              <w:bidi w:val="0"/>
              <w:jc w:val="center"/>
              <w:rPr>
                <w:rFonts w:ascii="Arial" w:hAnsi="Arial" w:cs="Arial"/>
                <w:b/>
                <w:bCs/>
                <w:color w:val="000000" w:themeColor="text1"/>
                <w:sz w:val="18"/>
                <w:szCs w:val="18"/>
                <w:rtl/>
              </w:rPr>
            </w:pPr>
            <w:r w:rsidRPr="00FB36FA">
              <w:rPr>
                <w:rFonts w:ascii="Arial" w:hAnsi="Arial" w:cs="Arial"/>
                <w:b/>
                <w:bCs/>
                <w:color w:val="000000" w:themeColor="text1"/>
                <w:sz w:val="18"/>
                <w:szCs w:val="18"/>
                <w:rtl/>
              </w:rPr>
              <w:t>الوزن النسبي*</w:t>
            </w:r>
          </w:p>
        </w:tc>
      </w:tr>
      <w:tr w:rsidR="00AC3E34" w:rsidRPr="00165FD2" w:rsidTr="00E00BA3">
        <w:trPr>
          <w:trHeight w:val="264"/>
          <w:jc w:val="center"/>
        </w:trPr>
        <w:tc>
          <w:tcPr>
            <w:tcW w:w="3638" w:type="dxa"/>
            <w:tcBorders>
              <w:top w:val="single" w:sz="12" w:space="0" w:color="auto"/>
            </w:tcBorders>
            <w:vAlign w:val="center"/>
          </w:tcPr>
          <w:p w:rsidR="00AC3E34" w:rsidRPr="00FB36FA" w:rsidRDefault="00AC3E34">
            <w:pPr>
              <w:jc w:val="lowKashida"/>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المواد الغذائية والمشروبات المرطبة</w:t>
            </w:r>
          </w:p>
        </w:tc>
        <w:tc>
          <w:tcPr>
            <w:tcW w:w="1292" w:type="dxa"/>
            <w:tcBorders>
              <w:top w:val="single" w:sz="12" w:space="0" w:color="auto"/>
            </w:tcBorders>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144.63</w:t>
            </w:r>
          </w:p>
        </w:tc>
        <w:tc>
          <w:tcPr>
            <w:tcW w:w="1292" w:type="dxa"/>
            <w:tcBorders>
              <w:top w:val="single" w:sz="12" w:space="0" w:color="auto"/>
            </w:tcBorders>
            <w:vAlign w:val="center"/>
          </w:tcPr>
          <w:p w:rsidR="00AC3E34" w:rsidRPr="00FB36FA" w:rsidRDefault="00AC3E34" w:rsidP="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14</w:t>
            </w:r>
            <w:r w:rsidR="00462C6C" w:rsidRPr="00FB36FA">
              <w:rPr>
                <w:rFonts w:ascii="Arial" w:hAnsi="Arial" w:cs="Arial"/>
                <w:color w:val="000000" w:themeColor="text1"/>
                <w:sz w:val="18"/>
                <w:szCs w:val="18"/>
                <w:rtl/>
              </w:rPr>
              <w:t>8</w:t>
            </w:r>
            <w:r w:rsidRPr="00FB36FA">
              <w:rPr>
                <w:rFonts w:ascii="Arial" w:hAnsi="Arial" w:cs="Arial"/>
                <w:color w:val="000000" w:themeColor="text1"/>
                <w:sz w:val="18"/>
                <w:szCs w:val="18"/>
                <w:rtl/>
              </w:rPr>
              <w:t>.</w:t>
            </w:r>
            <w:r w:rsidR="00462C6C" w:rsidRPr="00FB36FA">
              <w:rPr>
                <w:rFonts w:ascii="Arial" w:hAnsi="Arial" w:cs="Arial"/>
                <w:color w:val="000000" w:themeColor="text1"/>
                <w:sz w:val="18"/>
                <w:szCs w:val="18"/>
                <w:rtl/>
              </w:rPr>
              <w:t>10</w:t>
            </w:r>
          </w:p>
        </w:tc>
        <w:tc>
          <w:tcPr>
            <w:tcW w:w="1148" w:type="dxa"/>
            <w:tcBorders>
              <w:top w:val="single" w:sz="12" w:space="0" w:color="auto"/>
            </w:tcBorders>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2</w:t>
            </w:r>
            <w:r w:rsidR="00AC3E34" w:rsidRPr="00FB36FA">
              <w:rPr>
                <w:rFonts w:ascii="Arial" w:hAnsi="Arial" w:cs="Arial"/>
                <w:color w:val="000000" w:themeColor="text1"/>
                <w:sz w:val="18"/>
                <w:szCs w:val="18"/>
                <w:rtl/>
              </w:rPr>
              <w:t>.40</w:t>
            </w:r>
          </w:p>
        </w:tc>
        <w:tc>
          <w:tcPr>
            <w:tcW w:w="1257" w:type="dxa"/>
            <w:tcBorders>
              <w:top w:val="single" w:sz="12" w:space="0" w:color="auto"/>
            </w:tcBorders>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37.64</w:t>
            </w:r>
          </w:p>
        </w:tc>
      </w:tr>
      <w:tr w:rsidR="00AC3E34" w:rsidRPr="00165FD2" w:rsidTr="00E00BA3">
        <w:trPr>
          <w:trHeight w:val="245"/>
          <w:jc w:val="center"/>
        </w:trPr>
        <w:tc>
          <w:tcPr>
            <w:tcW w:w="3638" w:type="dxa"/>
            <w:vAlign w:val="bottom"/>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المشروبات الكحولية والتبغ</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151.80</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161.24</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6.22</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4.66</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الأقمشة والملابس والأحذية</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109.16</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114.18</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4.60</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6.96</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tl/>
              </w:rPr>
            </w:pPr>
            <w:r w:rsidRPr="00FB36FA">
              <w:rPr>
                <w:rFonts w:ascii="Arial" w:hAnsi="Arial" w:cs="Arial"/>
                <w:color w:val="000000" w:themeColor="text1"/>
                <w:sz w:val="18"/>
                <w:szCs w:val="18"/>
                <w:rtl/>
              </w:rPr>
              <w:t>المسكن ومستلزماته</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127.23</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130.98</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2.95</w:t>
            </w:r>
          </w:p>
        </w:tc>
        <w:tc>
          <w:tcPr>
            <w:tcW w:w="1257" w:type="dxa"/>
            <w:vAlign w:val="center"/>
          </w:tcPr>
          <w:p w:rsidR="00AC3E34" w:rsidRPr="00FB36FA" w:rsidRDefault="00AC3E34">
            <w:pPr>
              <w:jc w:val="lowKashida"/>
              <w:rPr>
                <w:rFonts w:ascii="Arial" w:hAnsi="Arial" w:cs="Arial"/>
                <w:b/>
                <w:bCs/>
                <w:color w:val="000000" w:themeColor="text1"/>
                <w:sz w:val="18"/>
                <w:szCs w:val="18"/>
                <w:rtl/>
              </w:rPr>
            </w:pPr>
            <w:r w:rsidRPr="00FB36FA">
              <w:rPr>
                <w:rFonts w:ascii="Arial" w:hAnsi="Arial" w:cs="Arial"/>
                <w:b/>
                <w:bCs/>
                <w:color w:val="000000" w:themeColor="text1"/>
                <w:sz w:val="18"/>
                <w:szCs w:val="18"/>
              </w:rPr>
              <w:t>10.38</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tl/>
              </w:rPr>
            </w:pPr>
            <w:r w:rsidRPr="00FB36FA">
              <w:rPr>
                <w:rFonts w:ascii="Arial" w:hAnsi="Arial" w:cs="Arial"/>
                <w:color w:val="000000" w:themeColor="text1"/>
                <w:sz w:val="18"/>
                <w:szCs w:val="18"/>
                <w:rtl/>
              </w:rPr>
              <w:t>الأثاث والمفروشات والسلع المنزلية</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115.30</w:t>
            </w:r>
          </w:p>
        </w:tc>
        <w:tc>
          <w:tcPr>
            <w:tcW w:w="1292" w:type="dxa"/>
            <w:vAlign w:val="center"/>
          </w:tcPr>
          <w:p w:rsidR="00AC3E34" w:rsidRPr="00FB36FA" w:rsidRDefault="00AC3E34" w:rsidP="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115.</w:t>
            </w:r>
            <w:r w:rsidR="00462C6C" w:rsidRPr="00FB36FA">
              <w:rPr>
                <w:rFonts w:ascii="Arial" w:hAnsi="Arial" w:cs="Arial"/>
                <w:color w:val="000000" w:themeColor="text1"/>
                <w:sz w:val="18"/>
                <w:szCs w:val="18"/>
                <w:rtl/>
              </w:rPr>
              <w:t>27</w:t>
            </w:r>
          </w:p>
        </w:tc>
        <w:tc>
          <w:tcPr>
            <w:tcW w:w="1148" w:type="dxa"/>
            <w:vAlign w:val="center"/>
          </w:tcPr>
          <w:p w:rsidR="00AC3E34" w:rsidRPr="00FB36FA" w:rsidRDefault="006226E1" w:rsidP="006226E1">
            <w:pPr>
              <w:jc w:val="lowKashida"/>
              <w:rPr>
                <w:rFonts w:ascii="Arial" w:hAnsi="Arial" w:cs="Arial"/>
                <w:color w:val="000000" w:themeColor="text1"/>
                <w:sz w:val="18"/>
                <w:szCs w:val="18"/>
              </w:rPr>
            </w:pPr>
            <w:r w:rsidRPr="00FB36FA">
              <w:rPr>
                <w:rFonts w:ascii="Arial" w:hAnsi="Arial" w:cs="Arial"/>
                <w:color w:val="000000" w:themeColor="text1"/>
                <w:sz w:val="18"/>
                <w:szCs w:val="18"/>
                <w:rtl/>
              </w:rPr>
              <w:t>0.03-</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6.31</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الخدمات الطبية</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114.77</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116.30</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1.33</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4.45</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النقل والمواصلات</w:t>
            </w:r>
          </w:p>
        </w:tc>
        <w:tc>
          <w:tcPr>
            <w:tcW w:w="1292" w:type="dxa"/>
            <w:vAlign w:val="center"/>
          </w:tcPr>
          <w:p w:rsidR="00AC3E34" w:rsidRPr="00FB36FA" w:rsidRDefault="00AC3E34" w:rsidP="00AC3E34">
            <w:pPr>
              <w:rPr>
                <w:rFonts w:ascii="Arial" w:hAnsi="Arial" w:cs="Arial"/>
                <w:color w:val="000000" w:themeColor="text1"/>
                <w:sz w:val="18"/>
                <w:szCs w:val="18"/>
              </w:rPr>
            </w:pPr>
            <w:r w:rsidRPr="00FB36FA">
              <w:rPr>
                <w:rFonts w:ascii="Arial" w:hAnsi="Arial" w:cs="Arial"/>
                <w:color w:val="000000" w:themeColor="text1"/>
                <w:sz w:val="18"/>
                <w:szCs w:val="18"/>
                <w:rtl/>
              </w:rPr>
              <w:t>120.71</w:t>
            </w:r>
          </w:p>
        </w:tc>
        <w:tc>
          <w:tcPr>
            <w:tcW w:w="1292" w:type="dxa"/>
            <w:vAlign w:val="center"/>
          </w:tcPr>
          <w:p w:rsidR="00AC3E34" w:rsidRPr="00FB36FA" w:rsidRDefault="00462C6C">
            <w:pPr>
              <w:rPr>
                <w:rFonts w:ascii="Arial" w:hAnsi="Arial" w:cs="Arial"/>
                <w:color w:val="000000" w:themeColor="text1"/>
                <w:sz w:val="18"/>
                <w:szCs w:val="18"/>
              </w:rPr>
            </w:pPr>
            <w:r w:rsidRPr="00FB36FA">
              <w:rPr>
                <w:rFonts w:ascii="Arial" w:hAnsi="Arial" w:cs="Arial"/>
                <w:color w:val="000000" w:themeColor="text1"/>
                <w:sz w:val="18"/>
                <w:szCs w:val="18"/>
                <w:rtl/>
              </w:rPr>
              <w:t>126.47</w:t>
            </w:r>
          </w:p>
        </w:tc>
        <w:tc>
          <w:tcPr>
            <w:tcW w:w="1148" w:type="dxa"/>
            <w:vAlign w:val="center"/>
          </w:tcPr>
          <w:p w:rsidR="00AC3E34" w:rsidRPr="00FB36FA" w:rsidRDefault="00462C6C">
            <w:pPr>
              <w:rPr>
                <w:rFonts w:ascii="Arial" w:hAnsi="Arial" w:cs="Arial"/>
                <w:color w:val="000000" w:themeColor="text1"/>
                <w:sz w:val="18"/>
                <w:szCs w:val="18"/>
              </w:rPr>
            </w:pPr>
            <w:r w:rsidRPr="00FB36FA">
              <w:rPr>
                <w:rFonts w:ascii="Arial" w:hAnsi="Arial" w:cs="Arial"/>
                <w:color w:val="000000" w:themeColor="text1"/>
                <w:sz w:val="18"/>
                <w:szCs w:val="18"/>
                <w:rtl/>
              </w:rPr>
              <w:t>4.78</w:t>
            </w:r>
          </w:p>
        </w:tc>
        <w:tc>
          <w:tcPr>
            <w:tcW w:w="1257" w:type="dxa"/>
            <w:vAlign w:val="center"/>
          </w:tcPr>
          <w:p w:rsidR="00AC3E34" w:rsidRPr="00FB36FA" w:rsidRDefault="00AC3E34" w:rsidP="00265E1A">
            <w:pPr>
              <w:bidi w:val="0"/>
              <w:ind w:firstLineChars="100" w:firstLine="181"/>
              <w:jc w:val="right"/>
              <w:rPr>
                <w:rFonts w:ascii="Arial" w:eastAsia="Arial Unicode MS" w:hAnsi="Arial" w:cs="Arial"/>
                <w:b/>
                <w:bCs/>
                <w:color w:val="000000" w:themeColor="text1"/>
                <w:sz w:val="18"/>
                <w:szCs w:val="18"/>
              </w:rPr>
            </w:pPr>
            <w:r w:rsidRPr="00FB36FA">
              <w:rPr>
                <w:rFonts w:ascii="Arial" w:hAnsi="Arial" w:cs="Arial"/>
                <w:b/>
                <w:bCs/>
                <w:color w:val="000000" w:themeColor="text1"/>
                <w:sz w:val="18"/>
                <w:szCs w:val="18"/>
              </w:rPr>
              <w:t xml:space="preserve">   9.86</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الاتصالات</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106.92</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107.33</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0.39</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3.79</w:t>
            </w:r>
          </w:p>
        </w:tc>
      </w:tr>
      <w:tr w:rsidR="00AC3E34" w:rsidRPr="00165FD2" w:rsidTr="00E00BA3">
        <w:trPr>
          <w:trHeight w:val="264"/>
          <w:jc w:val="center"/>
        </w:trPr>
        <w:tc>
          <w:tcPr>
            <w:tcW w:w="3638" w:type="dxa"/>
            <w:vAlign w:val="bottom"/>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السلع والخدمات الترفيهية والثقافية</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103.00</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104.24</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1.21</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4.84</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خدمات التعليم</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110.49</w:t>
            </w:r>
          </w:p>
        </w:tc>
        <w:tc>
          <w:tcPr>
            <w:tcW w:w="1292" w:type="dxa"/>
            <w:vAlign w:val="center"/>
          </w:tcPr>
          <w:p w:rsidR="00AC3E34" w:rsidRPr="00FB36FA" w:rsidRDefault="00462C6C" w:rsidP="00646D48">
            <w:pPr>
              <w:jc w:val="lowKashida"/>
              <w:rPr>
                <w:rFonts w:ascii="Arial" w:hAnsi="Arial" w:cs="Arial"/>
                <w:color w:val="000000" w:themeColor="text1"/>
                <w:sz w:val="18"/>
                <w:szCs w:val="18"/>
              </w:rPr>
            </w:pPr>
            <w:r w:rsidRPr="00FB36FA">
              <w:rPr>
                <w:rFonts w:ascii="Arial" w:hAnsi="Arial" w:cs="Arial"/>
                <w:color w:val="000000" w:themeColor="text1"/>
                <w:sz w:val="18"/>
                <w:szCs w:val="18"/>
                <w:rtl/>
              </w:rPr>
              <w:t>1</w:t>
            </w:r>
            <w:r w:rsidR="00646D48" w:rsidRPr="00FB36FA">
              <w:rPr>
                <w:rFonts w:ascii="Arial" w:hAnsi="Arial" w:cs="Arial"/>
                <w:color w:val="000000" w:themeColor="text1"/>
                <w:sz w:val="18"/>
                <w:szCs w:val="18"/>
                <w:rtl/>
              </w:rPr>
              <w:t>12</w:t>
            </w:r>
            <w:r w:rsidRPr="00FB36FA">
              <w:rPr>
                <w:rFonts w:ascii="Arial" w:hAnsi="Arial" w:cs="Arial"/>
                <w:color w:val="000000" w:themeColor="text1"/>
                <w:sz w:val="18"/>
                <w:szCs w:val="18"/>
                <w:rtl/>
              </w:rPr>
              <w:t>.</w:t>
            </w:r>
            <w:r w:rsidR="00646D48" w:rsidRPr="00FB36FA">
              <w:rPr>
                <w:rFonts w:ascii="Arial" w:hAnsi="Arial" w:cs="Arial"/>
                <w:color w:val="000000" w:themeColor="text1"/>
                <w:sz w:val="18"/>
                <w:szCs w:val="18"/>
                <w:rtl/>
              </w:rPr>
              <w:t>81</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2.10</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3.56</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خدمات المطاعم والمقاهي والفنادق</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136.88</w:t>
            </w:r>
          </w:p>
        </w:tc>
        <w:tc>
          <w:tcPr>
            <w:tcW w:w="1292" w:type="dxa"/>
            <w:vAlign w:val="center"/>
          </w:tcPr>
          <w:p w:rsidR="00AC3E34" w:rsidRPr="00FB36FA" w:rsidRDefault="00646D48">
            <w:pPr>
              <w:jc w:val="lowKashida"/>
              <w:rPr>
                <w:rFonts w:ascii="Arial" w:hAnsi="Arial" w:cs="Arial"/>
                <w:color w:val="000000" w:themeColor="text1"/>
                <w:sz w:val="18"/>
                <w:szCs w:val="18"/>
              </w:rPr>
            </w:pPr>
            <w:r w:rsidRPr="00FB36FA">
              <w:rPr>
                <w:rFonts w:ascii="Arial" w:hAnsi="Arial" w:cs="Arial"/>
                <w:color w:val="000000" w:themeColor="text1"/>
                <w:sz w:val="18"/>
                <w:szCs w:val="18"/>
                <w:rtl/>
              </w:rPr>
              <w:t>144.94</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5.89</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2.18</w:t>
            </w:r>
          </w:p>
        </w:tc>
      </w:tr>
      <w:tr w:rsidR="00AC3E34" w:rsidRPr="00165FD2" w:rsidTr="00E00BA3">
        <w:trPr>
          <w:trHeight w:val="264"/>
          <w:jc w:val="center"/>
        </w:trPr>
        <w:tc>
          <w:tcPr>
            <w:tcW w:w="3638" w:type="dxa"/>
            <w:vAlign w:val="center"/>
          </w:tcPr>
          <w:p w:rsidR="00AC3E34" w:rsidRPr="00FB36FA" w:rsidRDefault="00AC3E34">
            <w:pPr>
              <w:rPr>
                <w:rFonts w:ascii="Arial" w:eastAsia="Arial Unicode MS" w:hAnsi="Arial" w:cs="Arial"/>
                <w:color w:val="000000" w:themeColor="text1"/>
                <w:sz w:val="18"/>
                <w:szCs w:val="18"/>
              </w:rPr>
            </w:pPr>
            <w:r w:rsidRPr="00FB36FA">
              <w:rPr>
                <w:rFonts w:ascii="Arial" w:hAnsi="Arial" w:cs="Arial"/>
                <w:color w:val="000000" w:themeColor="text1"/>
                <w:sz w:val="18"/>
                <w:szCs w:val="18"/>
                <w:rtl/>
              </w:rPr>
              <w:t>سلع وخدمات متنوعة</w:t>
            </w:r>
          </w:p>
        </w:tc>
        <w:tc>
          <w:tcPr>
            <w:tcW w:w="1292" w:type="dxa"/>
            <w:vAlign w:val="center"/>
          </w:tcPr>
          <w:p w:rsidR="00AC3E34" w:rsidRPr="00FB36FA" w:rsidRDefault="00AC3E34" w:rsidP="00AC3E34">
            <w:pPr>
              <w:jc w:val="lowKashida"/>
              <w:rPr>
                <w:rFonts w:ascii="Arial" w:hAnsi="Arial" w:cs="Arial"/>
                <w:color w:val="000000" w:themeColor="text1"/>
                <w:sz w:val="18"/>
                <w:szCs w:val="18"/>
              </w:rPr>
            </w:pPr>
            <w:r w:rsidRPr="00FB36FA">
              <w:rPr>
                <w:rFonts w:ascii="Arial" w:hAnsi="Arial" w:cs="Arial"/>
                <w:color w:val="000000" w:themeColor="text1"/>
                <w:sz w:val="18"/>
                <w:szCs w:val="18"/>
                <w:rtl/>
              </w:rPr>
              <w:t>120.10</w:t>
            </w:r>
          </w:p>
        </w:tc>
        <w:tc>
          <w:tcPr>
            <w:tcW w:w="1292"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124.88</w:t>
            </w:r>
          </w:p>
        </w:tc>
        <w:tc>
          <w:tcPr>
            <w:tcW w:w="1148" w:type="dxa"/>
            <w:vAlign w:val="center"/>
          </w:tcPr>
          <w:p w:rsidR="00AC3E34" w:rsidRPr="00FB36FA" w:rsidRDefault="00462C6C">
            <w:pPr>
              <w:jc w:val="lowKashida"/>
              <w:rPr>
                <w:rFonts w:ascii="Arial" w:hAnsi="Arial" w:cs="Arial"/>
                <w:color w:val="000000" w:themeColor="text1"/>
                <w:sz w:val="18"/>
                <w:szCs w:val="18"/>
              </w:rPr>
            </w:pPr>
            <w:r w:rsidRPr="00FB36FA">
              <w:rPr>
                <w:rFonts w:ascii="Arial" w:hAnsi="Arial" w:cs="Arial"/>
                <w:color w:val="000000" w:themeColor="text1"/>
                <w:sz w:val="18"/>
                <w:szCs w:val="18"/>
                <w:rtl/>
              </w:rPr>
              <w:t>3.99</w:t>
            </w:r>
          </w:p>
        </w:tc>
        <w:tc>
          <w:tcPr>
            <w:tcW w:w="1257" w:type="dxa"/>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5.37</w:t>
            </w:r>
          </w:p>
        </w:tc>
      </w:tr>
      <w:tr w:rsidR="00AC3E34" w:rsidRPr="00165FD2" w:rsidTr="00E00BA3">
        <w:trPr>
          <w:trHeight w:val="264"/>
          <w:jc w:val="center"/>
        </w:trPr>
        <w:tc>
          <w:tcPr>
            <w:tcW w:w="3638" w:type="dxa"/>
            <w:tcBorders>
              <w:bottom w:val="single" w:sz="12" w:space="0" w:color="auto"/>
            </w:tcBorders>
            <w:vAlign w:val="center"/>
          </w:tcPr>
          <w:p w:rsidR="00AC3E34" w:rsidRPr="00FB36FA" w:rsidRDefault="00AC3E34">
            <w:pPr>
              <w:rPr>
                <w:rFonts w:ascii="Arial" w:eastAsia="Arial Unicode MS" w:hAnsi="Arial" w:cs="Arial"/>
                <w:b/>
                <w:bCs/>
                <w:color w:val="000000" w:themeColor="text1"/>
                <w:sz w:val="18"/>
                <w:szCs w:val="18"/>
              </w:rPr>
            </w:pPr>
            <w:r w:rsidRPr="00FB36FA">
              <w:rPr>
                <w:rFonts w:ascii="Arial" w:hAnsi="Arial" w:cs="Arial"/>
                <w:b/>
                <w:bCs/>
                <w:color w:val="000000" w:themeColor="text1"/>
                <w:sz w:val="18"/>
                <w:szCs w:val="18"/>
                <w:rtl/>
              </w:rPr>
              <w:t>الرقم القياسي العام لأسعار المستهلك</w:t>
            </w:r>
          </w:p>
        </w:tc>
        <w:tc>
          <w:tcPr>
            <w:tcW w:w="1292" w:type="dxa"/>
            <w:tcBorders>
              <w:bottom w:val="single" w:sz="12" w:space="0" w:color="auto"/>
            </w:tcBorders>
            <w:vAlign w:val="center"/>
          </w:tcPr>
          <w:p w:rsidR="00AC3E34" w:rsidRPr="00FB36FA" w:rsidRDefault="00AC3E34" w:rsidP="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tl/>
              </w:rPr>
              <w:t>129.00</w:t>
            </w:r>
          </w:p>
        </w:tc>
        <w:tc>
          <w:tcPr>
            <w:tcW w:w="1292" w:type="dxa"/>
            <w:tcBorders>
              <w:bottom w:val="single" w:sz="12" w:space="0" w:color="auto"/>
            </w:tcBorders>
            <w:vAlign w:val="center"/>
          </w:tcPr>
          <w:p w:rsidR="00AC3E34" w:rsidRPr="00FB36FA" w:rsidRDefault="00462C6C">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tl/>
              </w:rPr>
              <w:t>132.71</w:t>
            </w:r>
          </w:p>
        </w:tc>
        <w:tc>
          <w:tcPr>
            <w:tcW w:w="1148" w:type="dxa"/>
            <w:tcBorders>
              <w:bottom w:val="single" w:sz="12" w:space="0" w:color="auto"/>
            </w:tcBorders>
            <w:vAlign w:val="center"/>
          </w:tcPr>
          <w:p w:rsidR="00AC3E34" w:rsidRPr="00FB36FA" w:rsidRDefault="00462C6C">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tl/>
              </w:rPr>
              <w:t>2.88</w:t>
            </w:r>
          </w:p>
        </w:tc>
        <w:tc>
          <w:tcPr>
            <w:tcW w:w="1257" w:type="dxa"/>
            <w:tcBorders>
              <w:bottom w:val="single" w:sz="12" w:space="0" w:color="auto"/>
            </w:tcBorders>
            <w:vAlign w:val="center"/>
          </w:tcPr>
          <w:p w:rsidR="00AC3E34" w:rsidRPr="00FB36FA" w:rsidRDefault="00AC3E34">
            <w:pPr>
              <w:jc w:val="lowKashida"/>
              <w:rPr>
                <w:rFonts w:ascii="Arial" w:hAnsi="Arial" w:cs="Arial"/>
                <w:b/>
                <w:bCs/>
                <w:color w:val="000000" w:themeColor="text1"/>
                <w:sz w:val="18"/>
                <w:szCs w:val="18"/>
              </w:rPr>
            </w:pPr>
            <w:r w:rsidRPr="00FB36FA">
              <w:rPr>
                <w:rFonts w:ascii="Arial" w:hAnsi="Arial" w:cs="Arial"/>
                <w:b/>
                <w:bCs/>
                <w:color w:val="000000" w:themeColor="text1"/>
                <w:sz w:val="18"/>
                <w:szCs w:val="18"/>
              </w:rPr>
              <w:t>100.00</w:t>
            </w:r>
          </w:p>
        </w:tc>
      </w:tr>
    </w:tbl>
    <w:p w:rsidR="00F63205" w:rsidRPr="00165FD2" w:rsidRDefault="005069DB">
      <w:pPr>
        <w:jc w:val="lowKashida"/>
        <w:rPr>
          <w:rFonts w:cs="Simplified Arabic"/>
          <w:b/>
          <w:bCs/>
          <w:color w:val="000000" w:themeColor="text1"/>
          <w:sz w:val="22"/>
          <w:szCs w:val="22"/>
          <w:rtl/>
        </w:rPr>
      </w:pPr>
      <w:r>
        <w:rPr>
          <w:rFonts w:cs="Simplified Arabic" w:hint="cs"/>
          <w:color w:val="000000" w:themeColor="text1"/>
          <w:sz w:val="18"/>
          <w:szCs w:val="18"/>
          <w:rtl/>
        </w:rPr>
        <w:t xml:space="preserve">     </w:t>
      </w:r>
      <w:r w:rsidR="00B45AC2" w:rsidRPr="00165FD2">
        <w:rPr>
          <w:rFonts w:cs="Simplified Arabic" w:hint="cs"/>
          <w:color w:val="000000" w:themeColor="text1"/>
          <w:sz w:val="18"/>
          <w:szCs w:val="18"/>
          <w:rtl/>
        </w:rPr>
        <w:t>* الوزن النسبي حسب المجموعات الرئيسية لأسعار المستهلك لعام 2004</w:t>
      </w:r>
    </w:p>
    <w:p w:rsidR="00F63205" w:rsidRPr="00165FD2" w:rsidRDefault="00F63205">
      <w:pPr>
        <w:jc w:val="lowKashida"/>
        <w:rPr>
          <w:rFonts w:cs="Simplified Arabic"/>
          <w:color w:val="000000" w:themeColor="text1"/>
          <w:rtl/>
        </w:rPr>
      </w:pPr>
    </w:p>
    <w:p w:rsidR="00F63205" w:rsidRPr="00165FD2" w:rsidRDefault="00F63205">
      <w:pPr>
        <w:rPr>
          <w:rFonts w:cs="Simplified Arabic"/>
          <w:color w:val="000000" w:themeColor="text1"/>
          <w:rtl/>
        </w:rPr>
      </w:pPr>
    </w:p>
    <w:p w:rsidR="00462C6C" w:rsidRPr="00165FD2" w:rsidRDefault="00462C6C">
      <w:pPr>
        <w:rPr>
          <w:rFonts w:cs="Simplified Arabic"/>
          <w:color w:val="000000" w:themeColor="text1"/>
          <w:rtl/>
        </w:rPr>
      </w:pPr>
    </w:p>
    <w:p w:rsidR="00254B8C" w:rsidRPr="00165FD2" w:rsidRDefault="00254B8C">
      <w:pPr>
        <w:rPr>
          <w:rFonts w:cs="Simplified Arabic"/>
          <w:color w:val="000000" w:themeColor="text1"/>
          <w:rtl/>
        </w:rPr>
      </w:pPr>
    </w:p>
    <w:p w:rsidR="00254B8C" w:rsidRPr="00165FD2" w:rsidRDefault="00254B8C">
      <w:pPr>
        <w:rPr>
          <w:rFonts w:cs="Simplified Arabic"/>
          <w:color w:val="000000" w:themeColor="text1"/>
          <w:rtl/>
        </w:rPr>
      </w:pPr>
    </w:p>
    <w:p w:rsidR="00254B8C" w:rsidRPr="00165FD2" w:rsidRDefault="00254B8C">
      <w:pPr>
        <w:rPr>
          <w:rFonts w:cs="Simplified Arabic"/>
          <w:color w:val="000000" w:themeColor="text1"/>
          <w:rtl/>
        </w:rPr>
      </w:pPr>
    </w:p>
    <w:p w:rsidR="00462C6C" w:rsidRPr="00165FD2" w:rsidRDefault="00462C6C">
      <w:pPr>
        <w:rPr>
          <w:rFonts w:cs="Simplified Arabic"/>
          <w:color w:val="000000" w:themeColor="text1"/>
          <w:rtl/>
        </w:rPr>
      </w:pPr>
    </w:p>
    <w:p w:rsidR="00462C6C" w:rsidRPr="00165FD2" w:rsidRDefault="00462C6C">
      <w:pPr>
        <w:rPr>
          <w:rFonts w:cs="Simplified Arabic"/>
          <w:color w:val="000000" w:themeColor="text1"/>
          <w:rtl/>
        </w:rPr>
      </w:pPr>
    </w:p>
    <w:p w:rsidR="002E7DB5" w:rsidRPr="00165FD2" w:rsidRDefault="002E7DB5">
      <w:pPr>
        <w:rPr>
          <w:rFonts w:cs="Simplified Arabic"/>
          <w:color w:val="000000" w:themeColor="text1"/>
          <w:rtl/>
        </w:rPr>
      </w:pPr>
    </w:p>
    <w:p w:rsidR="002E7DB5" w:rsidRPr="00165FD2" w:rsidRDefault="002E7DB5">
      <w:pPr>
        <w:rPr>
          <w:rFonts w:cs="Simplified Arabic"/>
          <w:color w:val="000000" w:themeColor="text1"/>
          <w:rtl/>
        </w:rPr>
      </w:pPr>
    </w:p>
    <w:p w:rsidR="002E7DB5" w:rsidRPr="00165FD2" w:rsidRDefault="002E7DB5">
      <w:pPr>
        <w:rPr>
          <w:rFonts w:cs="Simplified Arabic"/>
          <w:color w:val="000000" w:themeColor="text1"/>
          <w:rtl/>
        </w:rPr>
      </w:pPr>
    </w:p>
    <w:p w:rsidR="002E7DB5" w:rsidRPr="00165FD2" w:rsidRDefault="002E7DB5">
      <w:pPr>
        <w:rPr>
          <w:rFonts w:cs="Simplified Arabic"/>
          <w:color w:val="000000" w:themeColor="text1"/>
          <w:rtl/>
        </w:rPr>
      </w:pPr>
    </w:p>
    <w:p w:rsidR="002E7DB5" w:rsidRDefault="002E7DB5">
      <w:pPr>
        <w:rPr>
          <w:rFonts w:cs="Simplified Arabic"/>
          <w:color w:val="000000" w:themeColor="text1"/>
          <w:rtl/>
        </w:rPr>
      </w:pPr>
    </w:p>
    <w:p w:rsidR="00D9772C" w:rsidRDefault="00D9772C">
      <w:pPr>
        <w:rPr>
          <w:rFonts w:cs="Simplified Arabic"/>
          <w:color w:val="000000" w:themeColor="text1"/>
          <w:rtl/>
        </w:rPr>
      </w:pPr>
    </w:p>
    <w:p w:rsidR="00D9772C" w:rsidRDefault="00D9772C">
      <w:pPr>
        <w:rPr>
          <w:rFonts w:cs="Simplified Arabic"/>
          <w:color w:val="000000" w:themeColor="text1"/>
          <w:rtl/>
        </w:rPr>
      </w:pPr>
    </w:p>
    <w:p w:rsidR="002E7DB5" w:rsidRPr="00165FD2" w:rsidRDefault="002E7DB5">
      <w:pPr>
        <w:rPr>
          <w:rFonts w:cs="Simplified Arabic"/>
          <w:color w:val="000000" w:themeColor="text1"/>
          <w:rtl/>
        </w:rPr>
      </w:pPr>
    </w:p>
    <w:p w:rsidR="00F63205" w:rsidRPr="00EE3B74" w:rsidRDefault="00006D99" w:rsidP="00FF3804">
      <w:pPr>
        <w:jc w:val="lowKashida"/>
        <w:rPr>
          <w:rFonts w:cs="Simplified Arabic"/>
          <w:b/>
          <w:bCs/>
          <w:color w:val="000000" w:themeColor="text1"/>
          <w:vertAlign w:val="superscript"/>
          <w:rtl/>
        </w:rPr>
      </w:pPr>
      <w:r>
        <w:rPr>
          <w:rFonts w:cs="Simplified Arabic" w:hint="cs"/>
          <w:b/>
          <w:bCs/>
          <w:color w:val="000000" w:themeColor="text1"/>
          <w:rtl/>
        </w:rPr>
        <w:lastRenderedPageBreak/>
        <w:t>4</w:t>
      </w:r>
      <w:r w:rsidR="00B45AC2" w:rsidRPr="00165FD2">
        <w:rPr>
          <w:rFonts w:cs="Simplified Arabic" w:hint="cs"/>
          <w:b/>
          <w:bCs/>
          <w:color w:val="000000" w:themeColor="text1"/>
          <w:rtl/>
        </w:rPr>
        <w:t>- الفقر</w:t>
      </w:r>
    </w:p>
    <w:p w:rsidR="00844EA8" w:rsidRPr="00165FD2" w:rsidRDefault="00844EA8" w:rsidP="00F21D27">
      <w:pPr>
        <w:pStyle w:val="BodyText"/>
        <w:jc w:val="both"/>
        <w:rPr>
          <w:color w:val="000000" w:themeColor="text1"/>
          <w:rtl/>
        </w:rPr>
      </w:pPr>
      <w:r w:rsidRPr="00165FD2">
        <w:rPr>
          <w:rFonts w:hint="cs"/>
          <w:color w:val="000000" w:themeColor="text1"/>
          <w:rtl/>
        </w:rPr>
        <w:t>يعتبر مؤشر الفقر المر</w:t>
      </w:r>
      <w:r w:rsidR="00F21D27">
        <w:rPr>
          <w:rFonts w:hint="cs"/>
          <w:color w:val="000000" w:themeColor="text1"/>
          <w:rtl/>
        </w:rPr>
        <w:t>آ</w:t>
      </w:r>
      <w:r w:rsidRPr="00165FD2">
        <w:rPr>
          <w:rFonts w:hint="cs"/>
          <w:color w:val="000000" w:themeColor="text1"/>
          <w:rtl/>
        </w:rPr>
        <w:t xml:space="preserve">ة </w:t>
      </w:r>
      <w:proofErr w:type="spellStart"/>
      <w:r w:rsidRPr="00165FD2">
        <w:rPr>
          <w:rFonts w:hint="cs"/>
          <w:color w:val="000000" w:themeColor="text1"/>
          <w:rtl/>
        </w:rPr>
        <w:t>الحقيقية</w:t>
      </w:r>
      <w:proofErr w:type="spellEnd"/>
      <w:r w:rsidRPr="00165FD2">
        <w:rPr>
          <w:rFonts w:hint="cs"/>
          <w:color w:val="000000" w:themeColor="text1"/>
          <w:rtl/>
        </w:rPr>
        <w:t xml:space="preserve"> التي تعكس مستوى معيشة الأفراد في الأراضي الفلسطينية</w:t>
      </w:r>
      <w:r w:rsidR="00F21D27">
        <w:rPr>
          <w:rFonts w:hint="cs"/>
          <w:color w:val="000000" w:themeColor="text1"/>
          <w:rtl/>
        </w:rPr>
        <w:t>،</w:t>
      </w:r>
      <w:r w:rsidRPr="00165FD2">
        <w:rPr>
          <w:rFonts w:hint="cs"/>
          <w:color w:val="000000" w:themeColor="text1"/>
          <w:rtl/>
        </w:rPr>
        <w:t xml:space="preserve"> كما أن مؤشر الفقر من المؤشرات الهامة التي من خلالها يقرأ تحسن أو تراجع الأداء الاقتصادي لكافة المجتمعات.</w:t>
      </w:r>
    </w:p>
    <w:p w:rsidR="00844EA8" w:rsidRPr="00165FD2" w:rsidRDefault="00844EA8" w:rsidP="00844EA8">
      <w:pPr>
        <w:pStyle w:val="BodyText"/>
        <w:jc w:val="both"/>
        <w:rPr>
          <w:color w:val="000000" w:themeColor="text1"/>
          <w:rtl/>
        </w:rPr>
      </w:pPr>
    </w:p>
    <w:tbl>
      <w:tblPr>
        <w:bidiVisual/>
        <w:tblW w:w="9214" w:type="dxa"/>
        <w:jc w:val="center"/>
        <w:tblInd w:w="106" w:type="dxa"/>
        <w:tblLayout w:type="fixed"/>
        <w:tblLook w:val="0000"/>
      </w:tblPr>
      <w:tblGrid>
        <w:gridCol w:w="4461"/>
        <w:gridCol w:w="4753"/>
      </w:tblGrid>
      <w:tr w:rsidR="00844EA8" w:rsidRPr="00165FD2" w:rsidTr="000904CF">
        <w:trPr>
          <w:trHeight w:val="4297"/>
          <w:jc w:val="center"/>
        </w:trPr>
        <w:tc>
          <w:tcPr>
            <w:tcW w:w="4461" w:type="dxa"/>
          </w:tcPr>
          <w:p w:rsidR="00844EA8" w:rsidRPr="00165FD2" w:rsidRDefault="00844EA8" w:rsidP="00F21D27">
            <w:pPr>
              <w:jc w:val="center"/>
              <w:rPr>
                <w:rFonts w:cs="Simplified Arabic"/>
                <w:b/>
                <w:bCs/>
                <w:color w:val="000000" w:themeColor="text1"/>
              </w:rPr>
            </w:pPr>
            <w:r w:rsidRPr="00165FD2">
              <w:rPr>
                <w:rFonts w:cs="Simplified Arabic" w:hint="cs"/>
                <w:b/>
                <w:bCs/>
                <w:color w:val="000000" w:themeColor="text1"/>
                <w:sz w:val="22"/>
                <w:szCs w:val="22"/>
                <w:rtl/>
              </w:rPr>
              <w:t>شكل</w:t>
            </w:r>
            <w:r w:rsidR="00F21D27">
              <w:rPr>
                <w:rFonts w:cs="Simplified Arabic" w:hint="cs"/>
                <w:b/>
                <w:bCs/>
                <w:color w:val="000000" w:themeColor="text1"/>
                <w:sz w:val="22"/>
                <w:szCs w:val="22"/>
                <w:rtl/>
              </w:rPr>
              <w:t xml:space="preserve"> 11</w:t>
            </w:r>
            <w:r w:rsidRPr="00165FD2">
              <w:rPr>
                <w:rFonts w:cs="Simplified Arabic" w:hint="cs"/>
                <w:b/>
                <w:bCs/>
                <w:color w:val="000000" w:themeColor="text1"/>
                <w:sz w:val="22"/>
                <w:szCs w:val="22"/>
                <w:rtl/>
              </w:rPr>
              <w:t xml:space="preserve">: نسبة الفقر والفقر المدقع </w:t>
            </w:r>
            <w:r w:rsidR="00F21D27">
              <w:rPr>
                <w:rFonts w:cs="Simplified Arabic" w:hint="cs"/>
                <w:b/>
                <w:bCs/>
                <w:color w:val="000000" w:themeColor="text1"/>
                <w:sz w:val="22"/>
                <w:szCs w:val="22"/>
                <w:rtl/>
              </w:rPr>
              <w:t xml:space="preserve">بين الأفراد </w:t>
            </w:r>
            <w:r w:rsidRPr="00165FD2">
              <w:rPr>
                <w:rFonts w:cs="Simplified Arabic" w:hint="cs"/>
                <w:b/>
                <w:bCs/>
                <w:color w:val="000000" w:themeColor="text1"/>
                <w:sz w:val="22"/>
                <w:szCs w:val="22"/>
                <w:rtl/>
              </w:rPr>
              <w:t>في الضفة الغربية</w:t>
            </w:r>
            <w:r w:rsidR="00F21D27">
              <w:rPr>
                <w:rFonts w:cs="Simplified Arabic" w:hint="cs"/>
                <w:b/>
                <w:bCs/>
                <w:color w:val="000000" w:themeColor="text1"/>
                <w:sz w:val="22"/>
                <w:szCs w:val="22"/>
                <w:rtl/>
              </w:rPr>
              <w:t xml:space="preserve"> </w:t>
            </w:r>
            <w:r w:rsidRPr="00165FD2">
              <w:rPr>
                <w:rFonts w:cs="Simplified Arabic" w:hint="cs"/>
                <w:b/>
                <w:bCs/>
                <w:color w:val="000000" w:themeColor="text1"/>
                <w:sz w:val="22"/>
                <w:szCs w:val="22"/>
                <w:rtl/>
              </w:rPr>
              <w:t>(2009</w:t>
            </w:r>
            <w:r w:rsidR="000904CF">
              <w:rPr>
                <w:rFonts w:cs="Simplified Arabic" w:hint="cs"/>
                <w:b/>
                <w:bCs/>
                <w:color w:val="000000" w:themeColor="text1"/>
                <w:sz w:val="22"/>
                <w:szCs w:val="22"/>
                <w:rtl/>
              </w:rPr>
              <w:t xml:space="preserve">، </w:t>
            </w:r>
            <w:r w:rsidRPr="00165FD2">
              <w:rPr>
                <w:rFonts w:cs="Simplified Arabic" w:hint="cs"/>
                <w:b/>
                <w:bCs/>
                <w:color w:val="000000" w:themeColor="text1"/>
                <w:sz w:val="22"/>
                <w:szCs w:val="22"/>
                <w:rtl/>
              </w:rPr>
              <w:t>2010)</w:t>
            </w:r>
          </w:p>
          <w:p w:rsidR="00844EA8" w:rsidRPr="00165FD2" w:rsidRDefault="00844EA8" w:rsidP="009C583A">
            <w:pPr>
              <w:spacing w:after="120"/>
              <w:jc w:val="lowKashida"/>
              <w:rPr>
                <w:rFonts w:cs="Simplified Arabic"/>
                <w:color w:val="000000" w:themeColor="text1"/>
                <w:rtl/>
              </w:rPr>
            </w:pPr>
            <w:r w:rsidRPr="00165FD2">
              <w:rPr>
                <w:noProof/>
                <w:color w:val="000000" w:themeColor="text1"/>
                <w:lang w:eastAsia="en-US"/>
              </w:rPr>
              <w:drawing>
                <wp:inline distT="0" distB="0" distL="0" distR="0">
                  <wp:extent cx="2705100" cy="2619375"/>
                  <wp:effectExtent l="19050" t="0" r="19050" b="0"/>
                  <wp:docPr id="1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753" w:type="dxa"/>
          </w:tcPr>
          <w:p w:rsidR="00844EA8" w:rsidRPr="00165FD2" w:rsidRDefault="00844EA8" w:rsidP="00F21D27">
            <w:pPr>
              <w:jc w:val="center"/>
              <w:rPr>
                <w:rFonts w:cs="Simplified Arabic"/>
                <w:b/>
                <w:bCs/>
                <w:color w:val="000000" w:themeColor="text1"/>
                <w:rtl/>
              </w:rPr>
            </w:pPr>
            <w:r w:rsidRPr="00165FD2">
              <w:rPr>
                <w:rFonts w:cs="Simplified Arabic" w:hint="cs"/>
                <w:b/>
                <w:bCs/>
                <w:color w:val="000000" w:themeColor="text1"/>
                <w:sz w:val="22"/>
                <w:szCs w:val="22"/>
                <w:rtl/>
              </w:rPr>
              <w:t>شكل</w:t>
            </w:r>
            <w:r w:rsidR="00F21D27">
              <w:rPr>
                <w:rFonts w:cs="Simplified Arabic" w:hint="cs"/>
                <w:b/>
                <w:bCs/>
                <w:color w:val="000000" w:themeColor="text1"/>
                <w:sz w:val="22"/>
                <w:szCs w:val="22"/>
                <w:rtl/>
              </w:rPr>
              <w:t xml:space="preserve"> 12</w:t>
            </w:r>
            <w:r w:rsidRPr="00165FD2">
              <w:rPr>
                <w:rFonts w:cs="Simplified Arabic" w:hint="cs"/>
                <w:b/>
                <w:bCs/>
                <w:color w:val="000000" w:themeColor="text1"/>
                <w:sz w:val="22"/>
                <w:szCs w:val="22"/>
                <w:rtl/>
              </w:rPr>
              <w:t xml:space="preserve">: نسبة الفقر والفقر المدقع </w:t>
            </w:r>
            <w:r w:rsidR="00F21D27">
              <w:rPr>
                <w:rFonts w:cs="Simplified Arabic" w:hint="cs"/>
                <w:b/>
                <w:bCs/>
                <w:color w:val="000000" w:themeColor="text1"/>
                <w:sz w:val="22"/>
                <w:szCs w:val="22"/>
                <w:rtl/>
              </w:rPr>
              <w:t xml:space="preserve">بين الأفراد </w:t>
            </w:r>
            <w:r w:rsidRPr="00165FD2">
              <w:rPr>
                <w:rFonts w:cs="Simplified Arabic" w:hint="cs"/>
                <w:b/>
                <w:bCs/>
                <w:color w:val="000000" w:themeColor="text1"/>
                <w:sz w:val="22"/>
                <w:szCs w:val="22"/>
                <w:rtl/>
              </w:rPr>
              <w:t>في قطاع غزة،</w:t>
            </w:r>
          </w:p>
          <w:p w:rsidR="00844EA8" w:rsidRPr="00165FD2" w:rsidRDefault="00844EA8" w:rsidP="000904CF">
            <w:pPr>
              <w:jc w:val="center"/>
              <w:rPr>
                <w:color w:val="000000" w:themeColor="text1"/>
              </w:rPr>
            </w:pPr>
            <w:r w:rsidRPr="00165FD2">
              <w:rPr>
                <w:rFonts w:cs="Simplified Arabic" w:hint="cs"/>
                <w:b/>
                <w:bCs/>
                <w:color w:val="000000" w:themeColor="text1"/>
                <w:sz w:val="22"/>
                <w:szCs w:val="22"/>
                <w:rtl/>
              </w:rPr>
              <w:t>(2009</w:t>
            </w:r>
            <w:r w:rsidR="000904CF">
              <w:rPr>
                <w:rFonts w:cs="Simplified Arabic" w:hint="cs"/>
                <w:b/>
                <w:bCs/>
                <w:color w:val="000000" w:themeColor="text1"/>
                <w:sz w:val="22"/>
                <w:szCs w:val="22"/>
                <w:rtl/>
              </w:rPr>
              <w:t xml:space="preserve">، </w:t>
            </w:r>
            <w:r w:rsidRPr="00165FD2">
              <w:rPr>
                <w:rFonts w:cs="Simplified Arabic" w:hint="cs"/>
                <w:b/>
                <w:bCs/>
                <w:color w:val="000000" w:themeColor="text1"/>
                <w:sz w:val="22"/>
                <w:szCs w:val="22"/>
                <w:rtl/>
              </w:rPr>
              <w:t>2010)</w:t>
            </w:r>
          </w:p>
          <w:p w:rsidR="00844EA8" w:rsidRPr="00165FD2" w:rsidRDefault="00844EA8" w:rsidP="009C583A">
            <w:pPr>
              <w:spacing w:after="120"/>
              <w:jc w:val="lowKashida"/>
              <w:rPr>
                <w:color w:val="000000" w:themeColor="text1"/>
                <w:rtl/>
              </w:rPr>
            </w:pPr>
            <w:r w:rsidRPr="00165FD2">
              <w:rPr>
                <w:noProof/>
                <w:color w:val="000000" w:themeColor="text1"/>
                <w:lang w:eastAsia="en-US"/>
              </w:rPr>
              <w:drawing>
                <wp:inline distT="0" distB="0" distL="0" distR="0">
                  <wp:extent cx="2800350" cy="2619375"/>
                  <wp:effectExtent l="19050" t="0" r="19050" b="0"/>
                  <wp:docPr id="19"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44EA8" w:rsidRPr="00165FD2" w:rsidRDefault="00844EA8" w:rsidP="009C583A">
            <w:pPr>
              <w:jc w:val="lowKashida"/>
              <w:rPr>
                <w:rFonts w:cs="Simplified Arabic"/>
                <w:color w:val="000000" w:themeColor="text1"/>
                <w:rtl/>
              </w:rPr>
            </w:pPr>
          </w:p>
        </w:tc>
      </w:tr>
    </w:tbl>
    <w:p w:rsidR="00844EA8" w:rsidRPr="00844EA8" w:rsidRDefault="00844EA8" w:rsidP="00F21D27">
      <w:pPr>
        <w:jc w:val="both"/>
        <w:rPr>
          <w:rFonts w:cs="Simplified Arabic"/>
          <w:b/>
          <w:bCs/>
          <w:color w:val="000000" w:themeColor="text1"/>
          <w:rtl/>
        </w:rPr>
      </w:pPr>
      <w:r w:rsidRPr="00165FD2">
        <w:rPr>
          <w:rFonts w:cs="Simplified Arabic" w:hint="cs"/>
          <w:b/>
          <w:bCs/>
          <w:color w:val="000000" w:themeColor="text1"/>
          <w:rtl/>
        </w:rPr>
        <w:t>ربع الأفراد في الأراضي الفلسطينية عانوا من الفقر خلال العام 2010</w:t>
      </w:r>
      <w:r>
        <w:rPr>
          <w:rFonts w:cs="Simplified Arabic" w:hint="cs"/>
          <w:color w:val="000000" w:themeColor="text1"/>
          <w:rtl/>
        </w:rPr>
        <w:t xml:space="preserve">، </w:t>
      </w:r>
      <w:r w:rsidRPr="00165FD2">
        <w:rPr>
          <w:rFonts w:cs="Simplified Arabic"/>
          <w:color w:val="000000" w:themeColor="text1"/>
          <w:rtl/>
        </w:rPr>
        <w:t xml:space="preserve">بلغ معدل الفقر بين </w:t>
      </w:r>
      <w:r w:rsidRPr="00165FD2">
        <w:rPr>
          <w:rFonts w:cs="Simplified Arabic" w:hint="cs"/>
          <w:color w:val="000000" w:themeColor="text1"/>
          <w:rtl/>
        </w:rPr>
        <w:t>الأفراد</w:t>
      </w:r>
      <w:r w:rsidRPr="00165FD2">
        <w:rPr>
          <w:rFonts w:cs="Simplified Arabic"/>
          <w:color w:val="000000" w:themeColor="text1"/>
          <w:rtl/>
        </w:rPr>
        <w:t xml:space="preserve"> </w:t>
      </w:r>
      <w:r w:rsidRPr="00165FD2">
        <w:rPr>
          <w:rFonts w:cs="Simplified Arabic" w:hint="cs"/>
          <w:color w:val="000000" w:themeColor="text1"/>
          <w:rtl/>
        </w:rPr>
        <w:t xml:space="preserve">خلال العام </w:t>
      </w:r>
      <w:r w:rsidRPr="00165FD2">
        <w:rPr>
          <w:rFonts w:cs="Simplified Arabic"/>
          <w:color w:val="000000" w:themeColor="text1"/>
        </w:rPr>
        <w:t>2010</w:t>
      </w:r>
      <w:r w:rsidRPr="00165FD2">
        <w:rPr>
          <w:rFonts w:cs="Simplified Arabic" w:hint="cs"/>
          <w:color w:val="000000" w:themeColor="text1"/>
          <w:rtl/>
        </w:rPr>
        <w:t xml:space="preserve"> وفقا لأنماط الاستهلاك </w:t>
      </w:r>
      <w:proofErr w:type="spellStart"/>
      <w:r w:rsidRPr="00165FD2">
        <w:rPr>
          <w:rFonts w:cs="Simplified Arabic" w:hint="cs"/>
          <w:color w:val="000000" w:themeColor="text1"/>
          <w:rtl/>
        </w:rPr>
        <w:t>الحقيقية</w:t>
      </w:r>
      <w:proofErr w:type="spellEnd"/>
      <w:r w:rsidRPr="00165FD2">
        <w:rPr>
          <w:rFonts w:cs="Simplified Arabic"/>
          <w:color w:val="000000" w:themeColor="text1"/>
          <w:rtl/>
        </w:rPr>
        <w:t xml:space="preserve"> </w:t>
      </w:r>
      <w:r w:rsidRPr="00165FD2">
        <w:rPr>
          <w:rFonts w:cs="Simplified Arabic"/>
          <w:color w:val="000000" w:themeColor="text1"/>
        </w:rPr>
        <w:t>25.7</w:t>
      </w:r>
      <w:proofErr w:type="spellStart"/>
      <w:r w:rsidRPr="00165FD2">
        <w:rPr>
          <w:rFonts w:cs="Simplified Arabic"/>
          <w:color w:val="000000" w:themeColor="text1"/>
          <w:rtl/>
        </w:rPr>
        <w:t>%</w:t>
      </w:r>
      <w:proofErr w:type="spellEnd"/>
      <w:r w:rsidRPr="00165FD2">
        <w:rPr>
          <w:rFonts w:cs="Simplified Arabic" w:hint="cs"/>
          <w:color w:val="000000" w:themeColor="text1"/>
          <w:rtl/>
        </w:rPr>
        <w:t xml:space="preserve"> (بواقع   </w:t>
      </w:r>
      <w:r w:rsidRPr="00165FD2">
        <w:rPr>
          <w:rFonts w:cs="Simplified Arabic"/>
          <w:color w:val="000000" w:themeColor="text1"/>
        </w:rPr>
        <w:t>18.3</w:t>
      </w:r>
      <w:proofErr w:type="spellStart"/>
      <w:r w:rsidRPr="00165FD2">
        <w:rPr>
          <w:rFonts w:cs="Simplified Arabic" w:hint="cs"/>
          <w:color w:val="000000" w:themeColor="text1"/>
          <w:rtl/>
        </w:rPr>
        <w:t>%</w:t>
      </w:r>
      <w:proofErr w:type="spellEnd"/>
      <w:r w:rsidRPr="00165FD2">
        <w:rPr>
          <w:rFonts w:cs="Simplified Arabic" w:hint="cs"/>
          <w:color w:val="000000" w:themeColor="text1"/>
          <w:rtl/>
        </w:rPr>
        <w:t xml:space="preserve"> في الضفة الغربية و</w:t>
      </w:r>
      <w:r w:rsidRPr="00165FD2">
        <w:rPr>
          <w:rFonts w:cs="Simplified Arabic"/>
          <w:color w:val="000000" w:themeColor="text1"/>
        </w:rPr>
        <w:t>38.0</w:t>
      </w:r>
      <w:proofErr w:type="spellStart"/>
      <w:r w:rsidRPr="00165FD2">
        <w:rPr>
          <w:rFonts w:cs="Simplified Arabic" w:hint="cs"/>
          <w:color w:val="000000" w:themeColor="text1"/>
          <w:rtl/>
        </w:rPr>
        <w:t>%</w:t>
      </w:r>
      <w:proofErr w:type="spellEnd"/>
      <w:r w:rsidRPr="00165FD2">
        <w:rPr>
          <w:rFonts w:cs="Simplified Arabic" w:hint="cs"/>
          <w:color w:val="000000" w:themeColor="text1"/>
          <w:rtl/>
        </w:rPr>
        <w:t xml:space="preserve"> في قطاع غزة</w:t>
      </w:r>
      <w:proofErr w:type="spellStart"/>
      <w:r w:rsidRPr="00165FD2">
        <w:rPr>
          <w:rFonts w:cs="Simplified Arabic" w:hint="cs"/>
          <w:color w:val="000000" w:themeColor="text1"/>
          <w:rtl/>
        </w:rPr>
        <w:t>)</w:t>
      </w:r>
      <w:r w:rsidRPr="00165FD2">
        <w:rPr>
          <w:rFonts w:cs="Simplified Arabic"/>
          <w:color w:val="000000" w:themeColor="text1"/>
          <w:rtl/>
        </w:rPr>
        <w:t>.</w:t>
      </w:r>
      <w:proofErr w:type="spellEnd"/>
      <w:r w:rsidRPr="00165FD2">
        <w:rPr>
          <w:rFonts w:cs="Simplified Arabic" w:hint="cs"/>
          <w:color w:val="000000" w:themeColor="text1"/>
          <w:rtl/>
        </w:rPr>
        <w:t xml:space="preserve">  </w:t>
      </w:r>
      <w:r w:rsidRPr="00165FD2">
        <w:rPr>
          <w:rFonts w:cs="Simplified Arabic"/>
          <w:color w:val="000000" w:themeColor="text1"/>
          <w:rtl/>
        </w:rPr>
        <w:t>كما تبين أن حوالي</w:t>
      </w:r>
      <w:r w:rsidRPr="00165FD2">
        <w:rPr>
          <w:rFonts w:cs="Simplified Arabic" w:hint="cs"/>
          <w:color w:val="000000" w:themeColor="text1"/>
          <w:rtl/>
        </w:rPr>
        <w:t xml:space="preserve"> </w:t>
      </w:r>
      <w:r w:rsidRPr="00165FD2">
        <w:rPr>
          <w:rFonts w:cs="Simplified Arabic"/>
          <w:color w:val="000000" w:themeColor="text1"/>
        </w:rPr>
        <w:t>14.1</w:t>
      </w:r>
      <w:r w:rsidRPr="00165FD2">
        <w:rPr>
          <w:rFonts w:cs="Simplified Arabic" w:hint="cs"/>
          <w:color w:val="000000" w:themeColor="text1"/>
          <w:rtl/>
        </w:rPr>
        <w:t>% من الأفراد في الأراضي الفلسطينية يعانون</w:t>
      </w:r>
      <w:r w:rsidRPr="00165FD2">
        <w:rPr>
          <w:rFonts w:cs="Simplified Arabic"/>
          <w:color w:val="000000" w:themeColor="text1"/>
          <w:rtl/>
        </w:rPr>
        <w:t xml:space="preserve"> من الفقر </w:t>
      </w:r>
      <w:r w:rsidRPr="00165FD2">
        <w:rPr>
          <w:rFonts w:cs="Simplified Arabic" w:hint="cs"/>
          <w:color w:val="000000" w:themeColor="text1"/>
          <w:rtl/>
        </w:rPr>
        <w:t>المدقع وفقا لأنماط الاستهلاك الحقيقة للأسرة</w:t>
      </w:r>
      <w:r w:rsidRPr="00165FD2">
        <w:rPr>
          <w:rFonts w:cs="Simplified Arabic"/>
          <w:color w:val="000000" w:themeColor="text1"/>
          <w:rtl/>
        </w:rPr>
        <w:t xml:space="preserve">، </w:t>
      </w:r>
      <w:r w:rsidRPr="00165FD2">
        <w:rPr>
          <w:rFonts w:cs="Simplified Arabic" w:hint="cs"/>
          <w:color w:val="000000" w:themeColor="text1"/>
          <w:rtl/>
        </w:rPr>
        <w:t>(بواقع 8.8% في الضفة الغربية و23.0% في قطاع غزة)</w:t>
      </w:r>
      <w:r w:rsidRPr="00165FD2">
        <w:rPr>
          <w:rFonts w:cs="Simplified Arabic"/>
          <w:color w:val="000000" w:themeColor="text1"/>
          <w:rtl/>
        </w:rPr>
        <w:t>.</w:t>
      </w:r>
      <w:r w:rsidRPr="00165FD2">
        <w:rPr>
          <w:rFonts w:cs="Simplified Arabic" w:hint="cs"/>
          <w:color w:val="000000" w:themeColor="text1"/>
          <w:rtl/>
        </w:rPr>
        <w:t xml:space="preserve">  وفي عام 2009 بلغت نسبة الأفراد الفقراء 26.2%</w:t>
      </w:r>
      <w:r w:rsidR="00F21D27">
        <w:rPr>
          <w:rFonts w:cs="Simplified Arabic" w:hint="cs"/>
          <w:color w:val="000000" w:themeColor="text1"/>
          <w:rtl/>
        </w:rPr>
        <w:t xml:space="preserve">        </w:t>
      </w:r>
      <w:r w:rsidRPr="00165FD2">
        <w:rPr>
          <w:rFonts w:cs="Simplified Arabic" w:hint="cs"/>
          <w:color w:val="000000" w:themeColor="text1"/>
          <w:rtl/>
        </w:rPr>
        <w:t>(19.4% في الضفة الغربية</w:t>
      </w:r>
      <w:r w:rsidR="00F21D27">
        <w:rPr>
          <w:rFonts w:cs="Simplified Arabic" w:hint="cs"/>
          <w:color w:val="000000" w:themeColor="text1"/>
          <w:rtl/>
        </w:rPr>
        <w:t>،</w:t>
      </w:r>
      <w:r w:rsidRPr="00165FD2">
        <w:rPr>
          <w:rFonts w:cs="Simplified Arabic" w:hint="cs"/>
          <w:color w:val="000000" w:themeColor="text1"/>
          <w:rtl/>
        </w:rPr>
        <w:t xml:space="preserve"> و38.3% في قطاع غزة).</w:t>
      </w:r>
      <w:r w:rsidRPr="00165FD2">
        <w:rPr>
          <w:rFonts w:cs="Simplified Arabic"/>
          <w:color w:val="000000" w:themeColor="text1"/>
          <w:rtl/>
        </w:rPr>
        <w:t xml:space="preserve"> </w:t>
      </w:r>
    </w:p>
    <w:p w:rsidR="00844EA8" w:rsidRPr="00165FD2" w:rsidRDefault="00844EA8" w:rsidP="00844EA8">
      <w:pPr>
        <w:jc w:val="both"/>
        <w:rPr>
          <w:rFonts w:cs="Simplified Arabic"/>
          <w:color w:val="000000" w:themeColor="text1"/>
          <w:rtl/>
        </w:rPr>
      </w:pPr>
    </w:p>
    <w:p w:rsidR="00844EA8" w:rsidRPr="00165FD2" w:rsidRDefault="00844EA8" w:rsidP="00844EA8">
      <w:pPr>
        <w:ind w:left="-102"/>
        <w:jc w:val="both"/>
        <w:rPr>
          <w:rFonts w:cs="Simplified Arabic"/>
          <w:b/>
          <w:bCs/>
          <w:color w:val="000000" w:themeColor="text1"/>
          <w:rtl/>
        </w:rPr>
      </w:pPr>
      <w:r w:rsidRPr="00165FD2">
        <w:rPr>
          <w:rFonts w:cs="Simplified Arabic" w:hint="cs"/>
          <w:b/>
          <w:bCs/>
          <w:color w:val="000000" w:themeColor="text1"/>
          <w:rtl/>
        </w:rPr>
        <w:t>أثر المساعدات المقدمة للأسر خلال العام 2010 على معدلات الفقر</w:t>
      </w:r>
    </w:p>
    <w:p w:rsidR="00F21D27" w:rsidRDefault="00844EA8" w:rsidP="00844EA8">
      <w:pPr>
        <w:ind w:left="-102"/>
        <w:jc w:val="both"/>
        <w:rPr>
          <w:rFonts w:cs="Simplified Arabic"/>
          <w:color w:val="000000" w:themeColor="text1"/>
          <w:rtl/>
        </w:rPr>
      </w:pPr>
      <w:r w:rsidRPr="00165FD2">
        <w:rPr>
          <w:rFonts w:cs="Simplified Arabic" w:hint="cs"/>
          <w:color w:val="000000" w:themeColor="text1"/>
          <w:rtl/>
        </w:rPr>
        <w:t>وتبين أن المساعدات المقدمة للأسر خلال العام 2010 خفضت معدلات الفقر للأفراد بنسبة مقدارها 16.8% على مستوى الأراضي الفلسطينية (10.7% في الضفة الغربية</w:t>
      </w:r>
      <w:r w:rsidR="00F21D27">
        <w:rPr>
          <w:rFonts w:cs="Simplified Arabic" w:hint="cs"/>
          <w:color w:val="000000" w:themeColor="text1"/>
          <w:rtl/>
        </w:rPr>
        <w:t>،</w:t>
      </w:r>
      <w:r w:rsidRPr="00165FD2">
        <w:rPr>
          <w:rFonts w:cs="Simplified Arabic" w:hint="cs"/>
          <w:color w:val="000000" w:themeColor="text1"/>
          <w:rtl/>
        </w:rPr>
        <w:t xml:space="preserve"> و21.2% في قطاع غزة). </w:t>
      </w:r>
    </w:p>
    <w:p w:rsidR="00844EA8" w:rsidRPr="00165FD2" w:rsidRDefault="00844EA8" w:rsidP="00844EA8">
      <w:pPr>
        <w:ind w:left="-102"/>
        <w:jc w:val="both"/>
        <w:rPr>
          <w:rFonts w:cs="Simplified Arabic"/>
          <w:color w:val="000000" w:themeColor="text1"/>
          <w:rtl/>
        </w:rPr>
      </w:pPr>
      <w:r w:rsidRPr="00165FD2">
        <w:rPr>
          <w:rFonts w:cs="Simplified Arabic" w:hint="cs"/>
          <w:color w:val="000000" w:themeColor="text1"/>
          <w:rtl/>
        </w:rPr>
        <w:t xml:space="preserve"> </w:t>
      </w:r>
    </w:p>
    <w:p w:rsidR="00844EA8" w:rsidRDefault="00844EA8" w:rsidP="00844EA8">
      <w:pPr>
        <w:ind w:left="-102"/>
        <w:jc w:val="both"/>
        <w:rPr>
          <w:rFonts w:cs="Simplified Arabic"/>
          <w:color w:val="000000" w:themeColor="text1"/>
          <w:rtl/>
        </w:rPr>
      </w:pPr>
      <w:r w:rsidRPr="00165FD2">
        <w:rPr>
          <w:rFonts w:cs="Simplified Arabic" w:hint="cs"/>
          <w:color w:val="000000" w:themeColor="text1"/>
          <w:rtl/>
        </w:rPr>
        <w:t>وفي عام 2009، خفضت المساعدات المقدمة للأسر الفلسطينية معدلات الفقر للأفراد بنسبة مقدارها 17.9% على مستوى الأراضي الفلسطينية (12.6% في الضفة الغربية</w:t>
      </w:r>
      <w:r w:rsidR="00F21D27">
        <w:rPr>
          <w:rFonts w:cs="Simplified Arabic" w:hint="cs"/>
          <w:color w:val="000000" w:themeColor="text1"/>
          <w:rtl/>
        </w:rPr>
        <w:t>،</w:t>
      </w:r>
      <w:r w:rsidRPr="00165FD2">
        <w:rPr>
          <w:rFonts w:cs="Simplified Arabic" w:hint="cs"/>
          <w:color w:val="000000" w:themeColor="text1"/>
          <w:rtl/>
        </w:rPr>
        <w:t xml:space="preserve"> و22.1% في قطاع غزة).</w:t>
      </w:r>
    </w:p>
    <w:p w:rsidR="00FF3804" w:rsidRDefault="00FF3804" w:rsidP="00844EA8">
      <w:pPr>
        <w:ind w:left="-102"/>
        <w:jc w:val="both"/>
        <w:rPr>
          <w:rFonts w:cs="Simplified Arabic"/>
          <w:color w:val="000000" w:themeColor="text1"/>
          <w:rtl/>
        </w:rPr>
      </w:pPr>
    </w:p>
    <w:p w:rsidR="00FF3804" w:rsidRDefault="00FF3804" w:rsidP="00844EA8">
      <w:pPr>
        <w:ind w:left="-102"/>
        <w:jc w:val="both"/>
        <w:rPr>
          <w:rFonts w:cs="Simplified Arabic"/>
          <w:color w:val="000000" w:themeColor="text1"/>
          <w:rtl/>
        </w:rPr>
      </w:pPr>
    </w:p>
    <w:p w:rsidR="00FF3804" w:rsidRDefault="00FF3804" w:rsidP="00844EA8">
      <w:pPr>
        <w:ind w:left="-102"/>
        <w:jc w:val="both"/>
        <w:rPr>
          <w:rFonts w:cs="Simplified Arabic"/>
          <w:color w:val="000000" w:themeColor="text1"/>
          <w:rtl/>
        </w:rPr>
      </w:pPr>
    </w:p>
    <w:p w:rsidR="00FF3804" w:rsidRDefault="00FF3804" w:rsidP="00844EA8">
      <w:pPr>
        <w:ind w:left="-102"/>
        <w:jc w:val="both"/>
        <w:rPr>
          <w:rFonts w:cs="Simplified Arabic"/>
          <w:color w:val="000000" w:themeColor="text1"/>
          <w:rtl/>
        </w:rPr>
      </w:pPr>
    </w:p>
    <w:p w:rsidR="00FF3804" w:rsidRPr="00165FD2" w:rsidRDefault="00FF3804" w:rsidP="00844EA8">
      <w:pPr>
        <w:ind w:left="-102"/>
        <w:jc w:val="both"/>
        <w:rPr>
          <w:rFonts w:cs="Simplified Arabic"/>
          <w:color w:val="000000" w:themeColor="text1"/>
          <w:rtl/>
        </w:rPr>
      </w:pPr>
    </w:p>
    <w:p w:rsidR="00A44EE0" w:rsidRDefault="00A44EE0" w:rsidP="00FF3804">
      <w:pPr>
        <w:jc w:val="both"/>
        <w:rPr>
          <w:rFonts w:cs="Simplified Arabic"/>
          <w:color w:val="000000" w:themeColor="text1"/>
          <w:rtl/>
        </w:rPr>
      </w:pPr>
    </w:p>
    <w:p w:rsidR="00844EA8" w:rsidRPr="00165FD2" w:rsidRDefault="00844EA8" w:rsidP="00844EA8">
      <w:pPr>
        <w:ind w:left="-102"/>
        <w:jc w:val="both"/>
        <w:rPr>
          <w:rFonts w:cs="Simplified Arabic"/>
          <w:b/>
          <w:bCs/>
          <w:color w:val="000000" w:themeColor="text1"/>
          <w:rtl/>
        </w:rPr>
      </w:pPr>
      <w:r w:rsidRPr="00165FD2">
        <w:rPr>
          <w:rFonts w:cs="Simplified Arabic" w:hint="cs"/>
          <w:b/>
          <w:bCs/>
          <w:color w:val="000000" w:themeColor="text1"/>
          <w:rtl/>
        </w:rPr>
        <w:t>قطاع غزة أكثر فقراً من الضفة الغربية</w:t>
      </w:r>
    </w:p>
    <w:p w:rsidR="00844EA8" w:rsidRDefault="00844EA8" w:rsidP="00844EA8">
      <w:pPr>
        <w:ind w:left="-102"/>
        <w:jc w:val="both"/>
        <w:rPr>
          <w:rFonts w:cs="Simplified Arabic"/>
          <w:color w:val="000000" w:themeColor="text1"/>
          <w:rtl/>
        </w:rPr>
      </w:pPr>
      <w:r w:rsidRPr="00165FD2">
        <w:rPr>
          <w:rFonts w:cs="Simplified Arabic"/>
          <w:color w:val="000000" w:themeColor="text1"/>
          <w:rtl/>
        </w:rPr>
        <w:t>الأسر الفقيرة في قطاع غزة أكثر فقراً من أسر الضفة الغربية.</w:t>
      </w:r>
      <w:r w:rsidRPr="00165FD2">
        <w:rPr>
          <w:rFonts w:cs="Simplified Arabic" w:hint="cs"/>
          <w:color w:val="000000" w:themeColor="text1"/>
          <w:rtl/>
        </w:rPr>
        <w:t xml:space="preserve">  يظهر</w:t>
      </w:r>
      <w:r w:rsidRPr="00165FD2">
        <w:rPr>
          <w:rFonts w:cs="Simplified Arabic"/>
          <w:color w:val="000000" w:themeColor="text1"/>
          <w:rtl/>
        </w:rPr>
        <w:t xml:space="preserve"> هذا من خلال النتائج التي تم التوصل لها من خلال مقيا</w:t>
      </w:r>
      <w:r w:rsidRPr="00165FD2">
        <w:rPr>
          <w:rFonts w:cs="Simplified Arabic" w:hint="cs"/>
          <w:color w:val="000000" w:themeColor="text1"/>
          <w:rtl/>
        </w:rPr>
        <w:t>س</w:t>
      </w:r>
      <w:r w:rsidRPr="00165FD2">
        <w:rPr>
          <w:rFonts w:cs="Simplified Arabic"/>
          <w:color w:val="000000" w:themeColor="text1"/>
          <w:rtl/>
        </w:rPr>
        <w:t xml:space="preserve"> فجوة</w:t>
      </w:r>
      <w:r w:rsidRPr="00165FD2">
        <w:rPr>
          <w:rFonts w:cs="Simplified Arabic" w:hint="cs"/>
          <w:color w:val="000000" w:themeColor="text1"/>
          <w:rtl/>
        </w:rPr>
        <w:t xml:space="preserve"> الفقر، وتجدر الإشارة إلى أن فجوة الفقر هي مقياس حجم الفجوة الإجمالية الموجودة بين استهلاك الفقراء</w:t>
      </w:r>
      <w:r w:rsidRPr="00165FD2">
        <w:rPr>
          <w:rFonts w:cs="Simplified Arabic"/>
          <w:color w:val="000000" w:themeColor="text1"/>
        </w:rPr>
        <w:t xml:space="preserve"> </w:t>
      </w:r>
      <w:r w:rsidRPr="00165FD2">
        <w:rPr>
          <w:rFonts w:cs="Simplified Arabic" w:hint="cs"/>
          <w:color w:val="000000" w:themeColor="text1"/>
          <w:rtl/>
        </w:rPr>
        <w:t>وخط الفقر (خط الفقر العادي).</w:t>
      </w:r>
    </w:p>
    <w:p w:rsidR="00F21D27" w:rsidRPr="00165FD2" w:rsidRDefault="00F21D27" w:rsidP="00844EA8">
      <w:pPr>
        <w:ind w:left="-102"/>
        <w:jc w:val="both"/>
        <w:rPr>
          <w:rFonts w:cs="Simplified Arabic"/>
          <w:color w:val="000000" w:themeColor="text1"/>
          <w:rtl/>
        </w:rPr>
      </w:pPr>
    </w:p>
    <w:p w:rsidR="00844EA8" w:rsidRPr="00165FD2" w:rsidRDefault="00844EA8" w:rsidP="00844EA8">
      <w:pPr>
        <w:ind w:left="-102"/>
        <w:jc w:val="both"/>
        <w:rPr>
          <w:rFonts w:cs="Simplified Arabic"/>
          <w:color w:val="000000" w:themeColor="text1"/>
          <w:rtl/>
        </w:rPr>
      </w:pPr>
      <w:r w:rsidRPr="00165FD2">
        <w:rPr>
          <w:rFonts w:cs="Simplified Arabic" w:hint="cs"/>
          <w:color w:val="000000" w:themeColor="text1"/>
          <w:rtl/>
        </w:rPr>
        <w:t>ووفقاً للنتائج، يلاحظ أن الفقراء زاد وضعهم سوء خلال العام 2010 مقارنة مع عام 2009 سواءً على مستوى الضفة الغربية أو قطاع غزة.</w:t>
      </w:r>
    </w:p>
    <w:p w:rsidR="00844EA8" w:rsidRPr="00165FD2" w:rsidRDefault="00844EA8" w:rsidP="00F21D27">
      <w:pPr>
        <w:pStyle w:val="Heading6"/>
        <w:rPr>
          <w:color w:val="000000" w:themeColor="text1"/>
          <w:rtl/>
        </w:rPr>
      </w:pPr>
      <w:bookmarkStart w:id="5" w:name="OLE_LINK21"/>
      <w:bookmarkStart w:id="6" w:name="OLE_LINK22"/>
      <w:r w:rsidRPr="00165FD2">
        <w:rPr>
          <w:rFonts w:hint="cs"/>
          <w:color w:val="000000" w:themeColor="text1"/>
          <w:rtl/>
        </w:rPr>
        <w:t>جدول</w:t>
      </w:r>
      <w:r w:rsidR="00F21D27">
        <w:rPr>
          <w:rFonts w:hint="cs"/>
          <w:color w:val="000000" w:themeColor="text1"/>
          <w:rtl/>
        </w:rPr>
        <w:t xml:space="preserve"> 6</w:t>
      </w:r>
      <w:r w:rsidRPr="00165FD2">
        <w:rPr>
          <w:rFonts w:hint="cs"/>
          <w:color w:val="000000" w:themeColor="text1"/>
          <w:rtl/>
        </w:rPr>
        <w:t xml:space="preserve">: فجوة وشدة الفقر حسب المنطقة، </w:t>
      </w:r>
      <w:r w:rsidR="00950DA5">
        <w:rPr>
          <w:rFonts w:hint="cs"/>
          <w:color w:val="000000" w:themeColor="text1"/>
          <w:rtl/>
        </w:rPr>
        <w:t>(</w:t>
      </w:r>
      <w:r w:rsidRPr="00165FD2">
        <w:rPr>
          <w:rFonts w:hint="cs"/>
          <w:color w:val="000000" w:themeColor="text1"/>
          <w:rtl/>
        </w:rPr>
        <w:t>2009</w:t>
      </w:r>
      <w:r w:rsidR="00950DA5">
        <w:rPr>
          <w:rFonts w:hint="cs"/>
          <w:color w:val="000000" w:themeColor="text1"/>
          <w:rtl/>
        </w:rPr>
        <w:t xml:space="preserve">، </w:t>
      </w:r>
      <w:r w:rsidRPr="00165FD2">
        <w:rPr>
          <w:rFonts w:hint="cs"/>
          <w:color w:val="000000" w:themeColor="text1"/>
          <w:rtl/>
        </w:rPr>
        <w:t>2010</w:t>
      </w:r>
      <w:r w:rsidR="00950DA5">
        <w:rPr>
          <w:rFonts w:hint="cs"/>
          <w:color w:val="000000" w:themeColor="text1"/>
          <w:rtl/>
        </w:rPr>
        <w:t>)</w:t>
      </w:r>
    </w:p>
    <w:p w:rsidR="00844EA8" w:rsidRPr="00165FD2" w:rsidRDefault="00844EA8" w:rsidP="00844EA8">
      <w:pPr>
        <w:rPr>
          <w:rFonts w:ascii="Arial" w:hAnsi="Arial" w:cs="Arial"/>
          <w:color w:val="000000" w:themeColor="text1"/>
          <w:sz w:val="16"/>
          <w:szCs w:val="16"/>
          <w:rtl/>
        </w:rPr>
      </w:pPr>
    </w:p>
    <w:tbl>
      <w:tblPr>
        <w:bidiVisual/>
        <w:tblW w:w="0" w:type="auto"/>
        <w:tblBorders>
          <w:top w:val="single" w:sz="12" w:space="0" w:color="auto"/>
          <w:bottom w:val="single" w:sz="12" w:space="0" w:color="auto"/>
        </w:tblBorders>
        <w:tblLook w:val="04A0"/>
      </w:tblPr>
      <w:tblGrid>
        <w:gridCol w:w="2134"/>
        <w:gridCol w:w="1007"/>
        <w:gridCol w:w="1127"/>
        <w:gridCol w:w="1007"/>
        <w:gridCol w:w="1128"/>
        <w:gridCol w:w="1090"/>
        <w:gridCol w:w="1401"/>
      </w:tblGrid>
      <w:tr w:rsidR="00844EA8" w:rsidRPr="00165FD2" w:rsidTr="00844EA8">
        <w:trPr>
          <w:cantSplit/>
          <w:trHeight w:val="354"/>
        </w:trPr>
        <w:tc>
          <w:tcPr>
            <w:tcW w:w="2134" w:type="dxa"/>
            <w:vMerge w:val="restart"/>
            <w:tcBorders>
              <w:top w:val="single" w:sz="12" w:space="0" w:color="auto"/>
              <w:bottom w:val="single" w:sz="12" w:space="0" w:color="auto"/>
            </w:tcBorders>
            <w:vAlign w:val="center"/>
          </w:tcPr>
          <w:bookmarkEnd w:id="5"/>
          <w:bookmarkEnd w:id="6"/>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المؤشر</w:t>
            </w:r>
          </w:p>
        </w:tc>
        <w:tc>
          <w:tcPr>
            <w:tcW w:w="2134" w:type="dxa"/>
            <w:gridSpan w:val="2"/>
            <w:tcBorders>
              <w:top w:val="single" w:sz="12" w:space="0" w:color="auto"/>
              <w:bottom w:val="nil"/>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الأراضي الفلسطينية</w:t>
            </w:r>
          </w:p>
        </w:tc>
        <w:tc>
          <w:tcPr>
            <w:tcW w:w="2135" w:type="dxa"/>
            <w:gridSpan w:val="2"/>
            <w:tcBorders>
              <w:top w:val="single" w:sz="12" w:space="0" w:color="auto"/>
              <w:bottom w:val="nil"/>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الضفة الغربية</w:t>
            </w:r>
          </w:p>
        </w:tc>
        <w:tc>
          <w:tcPr>
            <w:tcW w:w="2491" w:type="dxa"/>
            <w:gridSpan w:val="2"/>
            <w:tcBorders>
              <w:top w:val="single" w:sz="12" w:space="0" w:color="auto"/>
              <w:bottom w:val="nil"/>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قطاع غزة</w:t>
            </w:r>
          </w:p>
        </w:tc>
      </w:tr>
      <w:tr w:rsidR="00844EA8" w:rsidRPr="00165FD2" w:rsidTr="00844EA8">
        <w:trPr>
          <w:cantSplit/>
          <w:trHeight w:val="177"/>
        </w:trPr>
        <w:tc>
          <w:tcPr>
            <w:tcW w:w="2134" w:type="dxa"/>
            <w:vMerge/>
            <w:tcBorders>
              <w:top w:val="single" w:sz="12" w:space="0" w:color="auto"/>
              <w:bottom w:val="single" w:sz="12" w:space="0" w:color="auto"/>
            </w:tcBorders>
          </w:tcPr>
          <w:p w:rsidR="00844EA8" w:rsidRPr="00FB36FA" w:rsidRDefault="00844EA8" w:rsidP="009C583A">
            <w:pPr>
              <w:rPr>
                <w:rFonts w:ascii="Arial" w:hAnsi="Arial" w:cs="Arial"/>
                <w:color w:val="000000" w:themeColor="text1"/>
                <w:sz w:val="18"/>
                <w:szCs w:val="18"/>
                <w:rtl/>
              </w:rPr>
            </w:pPr>
          </w:p>
        </w:tc>
        <w:tc>
          <w:tcPr>
            <w:tcW w:w="1007" w:type="dxa"/>
            <w:tcBorders>
              <w:top w:val="nil"/>
              <w:bottom w:val="single" w:sz="12" w:space="0" w:color="auto"/>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2009</w:t>
            </w:r>
          </w:p>
        </w:tc>
        <w:tc>
          <w:tcPr>
            <w:tcW w:w="1127" w:type="dxa"/>
            <w:tcBorders>
              <w:top w:val="nil"/>
              <w:bottom w:val="single" w:sz="12" w:space="0" w:color="auto"/>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2010</w:t>
            </w:r>
          </w:p>
        </w:tc>
        <w:tc>
          <w:tcPr>
            <w:tcW w:w="1007" w:type="dxa"/>
            <w:tcBorders>
              <w:top w:val="nil"/>
              <w:bottom w:val="single" w:sz="12" w:space="0" w:color="auto"/>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2009</w:t>
            </w:r>
          </w:p>
        </w:tc>
        <w:tc>
          <w:tcPr>
            <w:tcW w:w="1128" w:type="dxa"/>
            <w:tcBorders>
              <w:top w:val="nil"/>
              <w:bottom w:val="single" w:sz="12" w:space="0" w:color="auto"/>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2010</w:t>
            </w:r>
          </w:p>
        </w:tc>
        <w:tc>
          <w:tcPr>
            <w:tcW w:w="1090" w:type="dxa"/>
            <w:tcBorders>
              <w:top w:val="nil"/>
              <w:bottom w:val="single" w:sz="12" w:space="0" w:color="auto"/>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2009</w:t>
            </w:r>
          </w:p>
        </w:tc>
        <w:tc>
          <w:tcPr>
            <w:tcW w:w="1401" w:type="dxa"/>
            <w:tcBorders>
              <w:top w:val="nil"/>
              <w:bottom w:val="single" w:sz="12" w:space="0" w:color="auto"/>
            </w:tcBorders>
            <w:vAlign w:val="center"/>
          </w:tcPr>
          <w:p w:rsidR="00844EA8" w:rsidRPr="00FB36FA" w:rsidRDefault="00844EA8" w:rsidP="009C583A">
            <w:pPr>
              <w:rPr>
                <w:rFonts w:ascii="Arial" w:hAnsi="Arial" w:cs="Arial"/>
                <w:b/>
                <w:bCs/>
                <w:color w:val="000000" w:themeColor="text1"/>
                <w:sz w:val="18"/>
                <w:szCs w:val="18"/>
                <w:rtl/>
              </w:rPr>
            </w:pPr>
            <w:r w:rsidRPr="00FB36FA">
              <w:rPr>
                <w:rFonts w:ascii="Arial" w:hAnsi="Arial" w:cs="Arial"/>
                <w:b/>
                <w:bCs/>
                <w:color w:val="000000" w:themeColor="text1"/>
                <w:sz w:val="18"/>
                <w:szCs w:val="18"/>
                <w:rtl/>
              </w:rPr>
              <w:t>2010</w:t>
            </w:r>
          </w:p>
        </w:tc>
      </w:tr>
      <w:tr w:rsidR="00844EA8" w:rsidRPr="00165FD2" w:rsidTr="00844EA8">
        <w:trPr>
          <w:trHeight w:val="222"/>
        </w:trPr>
        <w:tc>
          <w:tcPr>
            <w:tcW w:w="2134" w:type="dxa"/>
            <w:tcBorders>
              <w:top w:val="single" w:sz="12" w:space="0" w:color="auto"/>
              <w:bottom w:val="nil"/>
            </w:tcBorders>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فجوة الفقر</w:t>
            </w:r>
          </w:p>
        </w:tc>
        <w:tc>
          <w:tcPr>
            <w:tcW w:w="1007" w:type="dxa"/>
            <w:tcBorders>
              <w:top w:val="single" w:sz="12" w:space="0" w:color="auto"/>
              <w:bottom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6.3</w:t>
            </w:r>
          </w:p>
        </w:tc>
        <w:tc>
          <w:tcPr>
            <w:tcW w:w="1127" w:type="dxa"/>
            <w:tcBorders>
              <w:top w:val="single" w:sz="12" w:space="0" w:color="auto"/>
              <w:bottom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6.4</w:t>
            </w:r>
          </w:p>
        </w:tc>
        <w:tc>
          <w:tcPr>
            <w:tcW w:w="1007" w:type="dxa"/>
            <w:tcBorders>
              <w:top w:val="single" w:sz="12" w:space="0" w:color="auto"/>
              <w:bottom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4.2</w:t>
            </w:r>
          </w:p>
        </w:tc>
        <w:tc>
          <w:tcPr>
            <w:tcW w:w="1128" w:type="dxa"/>
            <w:tcBorders>
              <w:top w:val="single" w:sz="12" w:space="0" w:color="auto"/>
              <w:bottom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4.1</w:t>
            </w:r>
          </w:p>
        </w:tc>
        <w:tc>
          <w:tcPr>
            <w:tcW w:w="1090" w:type="dxa"/>
            <w:tcBorders>
              <w:top w:val="single" w:sz="12" w:space="0" w:color="auto"/>
              <w:bottom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10.1</w:t>
            </w:r>
          </w:p>
        </w:tc>
        <w:tc>
          <w:tcPr>
            <w:tcW w:w="1401" w:type="dxa"/>
            <w:tcBorders>
              <w:top w:val="single" w:sz="12" w:space="0" w:color="auto"/>
              <w:bottom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10.3</w:t>
            </w:r>
          </w:p>
        </w:tc>
      </w:tr>
      <w:tr w:rsidR="00844EA8" w:rsidRPr="00165FD2" w:rsidTr="00844EA8">
        <w:trPr>
          <w:trHeight w:val="222"/>
        </w:trPr>
        <w:tc>
          <w:tcPr>
            <w:tcW w:w="2134" w:type="dxa"/>
            <w:tcBorders>
              <w:top w:val="nil"/>
            </w:tcBorders>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شدة الفقر*</w:t>
            </w:r>
          </w:p>
        </w:tc>
        <w:tc>
          <w:tcPr>
            <w:tcW w:w="1007" w:type="dxa"/>
            <w:tcBorders>
              <w:top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2.3</w:t>
            </w:r>
          </w:p>
        </w:tc>
        <w:tc>
          <w:tcPr>
            <w:tcW w:w="1127" w:type="dxa"/>
            <w:tcBorders>
              <w:top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2.4</w:t>
            </w:r>
          </w:p>
        </w:tc>
        <w:tc>
          <w:tcPr>
            <w:tcW w:w="1007" w:type="dxa"/>
            <w:tcBorders>
              <w:top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1.4</w:t>
            </w:r>
          </w:p>
        </w:tc>
        <w:tc>
          <w:tcPr>
            <w:tcW w:w="1128" w:type="dxa"/>
            <w:tcBorders>
              <w:top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1.4</w:t>
            </w:r>
          </w:p>
        </w:tc>
        <w:tc>
          <w:tcPr>
            <w:tcW w:w="1090" w:type="dxa"/>
            <w:tcBorders>
              <w:top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3.8</w:t>
            </w:r>
          </w:p>
        </w:tc>
        <w:tc>
          <w:tcPr>
            <w:tcW w:w="1401" w:type="dxa"/>
            <w:tcBorders>
              <w:top w:val="nil"/>
            </w:tcBorders>
            <w:vAlign w:val="center"/>
          </w:tcPr>
          <w:p w:rsidR="00844EA8" w:rsidRPr="00FB36FA" w:rsidRDefault="00844EA8" w:rsidP="009C583A">
            <w:pPr>
              <w:rPr>
                <w:rFonts w:ascii="Arial" w:hAnsi="Arial" w:cs="Arial"/>
                <w:color w:val="000000" w:themeColor="text1"/>
                <w:sz w:val="18"/>
                <w:szCs w:val="18"/>
                <w:rtl/>
              </w:rPr>
            </w:pPr>
            <w:r w:rsidRPr="00FB36FA">
              <w:rPr>
                <w:rFonts w:ascii="Arial" w:hAnsi="Arial" w:cs="Arial"/>
                <w:color w:val="000000" w:themeColor="text1"/>
                <w:sz w:val="18"/>
                <w:szCs w:val="18"/>
                <w:rtl/>
              </w:rPr>
              <w:t>3.9</w:t>
            </w:r>
          </w:p>
        </w:tc>
      </w:tr>
    </w:tbl>
    <w:p w:rsidR="00844EA8" w:rsidRPr="00165FD2" w:rsidRDefault="00844EA8" w:rsidP="00844EA8">
      <w:pPr>
        <w:rPr>
          <w:rFonts w:cs="Simplified Arabic"/>
          <w:color w:val="000000" w:themeColor="text1"/>
          <w:sz w:val="18"/>
          <w:szCs w:val="18"/>
        </w:rPr>
      </w:pPr>
      <w:r w:rsidRPr="00165FD2">
        <w:rPr>
          <w:rFonts w:cs="Simplified Arabic" w:hint="cs"/>
          <w:color w:val="000000" w:themeColor="text1"/>
          <w:sz w:val="18"/>
          <w:szCs w:val="18"/>
          <w:rtl/>
        </w:rPr>
        <w:t xml:space="preserve">* يبين هذا المؤشر الوسيط الخاص بمجموع العجز الاستهلاكي. </w:t>
      </w:r>
    </w:p>
    <w:p w:rsidR="00F63205" w:rsidRPr="00844EA8" w:rsidRDefault="00F63205">
      <w:pPr>
        <w:jc w:val="lowKashida"/>
        <w:rPr>
          <w:rFonts w:cs="Simplified Arabic"/>
          <w:color w:val="000000" w:themeColor="text1"/>
          <w:rtl/>
        </w:rPr>
      </w:pPr>
    </w:p>
    <w:p w:rsidR="00F63205" w:rsidRPr="00165FD2" w:rsidRDefault="00006D99" w:rsidP="00DE4F17">
      <w:pPr>
        <w:jc w:val="lowKashida"/>
        <w:rPr>
          <w:rFonts w:cs="Simplified Arabic"/>
          <w:b/>
          <w:bCs/>
          <w:color w:val="000000" w:themeColor="text1"/>
          <w:rtl/>
        </w:rPr>
      </w:pPr>
      <w:r>
        <w:rPr>
          <w:rFonts w:cs="Simplified Arabic" w:hint="cs"/>
          <w:b/>
          <w:bCs/>
          <w:color w:val="000000" w:themeColor="text1"/>
          <w:rtl/>
        </w:rPr>
        <w:t>5</w:t>
      </w:r>
      <w:r w:rsidR="00B45AC2" w:rsidRPr="00165FD2">
        <w:rPr>
          <w:rFonts w:cs="Simplified Arabic" w:hint="cs"/>
          <w:b/>
          <w:bCs/>
          <w:color w:val="000000" w:themeColor="text1"/>
          <w:rtl/>
        </w:rPr>
        <w:t xml:space="preserve">- ميزان المدفوعات </w:t>
      </w:r>
    </w:p>
    <w:p w:rsidR="00F63205" w:rsidRPr="00165FD2" w:rsidRDefault="00B45AC2" w:rsidP="00A56F8C">
      <w:pPr>
        <w:spacing w:before="240"/>
        <w:jc w:val="both"/>
        <w:rPr>
          <w:rFonts w:cs="Simplified Arabic"/>
          <w:color w:val="000000" w:themeColor="text1"/>
          <w:rtl/>
        </w:rPr>
      </w:pPr>
      <w:r w:rsidRPr="00165FD2">
        <w:rPr>
          <w:rFonts w:cs="Simplified Arabic" w:hint="cs"/>
          <w:color w:val="000000" w:themeColor="text1"/>
          <w:rtl/>
        </w:rPr>
        <w:t xml:space="preserve">يعتبر ميزان المدفوعات سجلاً منظماً موجزاً تدون فيه جميع المعاملات الاقتصادية التي تتم بين المقيمين في الأراضي الفلسطينية وغير المقيمين، </w:t>
      </w:r>
      <w:r w:rsidR="00DE4F17">
        <w:rPr>
          <w:rFonts w:cs="Simplified Arabic" w:hint="cs"/>
          <w:color w:val="000000" w:themeColor="text1"/>
          <w:rtl/>
        </w:rPr>
        <w:t>و</w:t>
      </w:r>
      <w:r w:rsidRPr="00165FD2">
        <w:rPr>
          <w:rFonts w:cs="Simplified Arabic" w:hint="cs"/>
          <w:color w:val="000000" w:themeColor="text1"/>
          <w:rtl/>
        </w:rPr>
        <w:t>يسجل فيه الحقوق والديون نتيجة تلك التبادلات والمعاملات الاقتصادية.</w:t>
      </w:r>
      <w:r w:rsidR="00E123BB">
        <w:rPr>
          <w:rFonts w:cs="Simplified Arabic" w:hint="cs"/>
          <w:color w:val="000000" w:themeColor="text1"/>
          <w:rtl/>
        </w:rPr>
        <w:t xml:space="preserve"> </w:t>
      </w:r>
      <w:r w:rsidR="002B7F29">
        <w:rPr>
          <w:rFonts w:cs="Simplified Arabic" w:hint="cs"/>
          <w:color w:val="000000" w:themeColor="text1"/>
          <w:rtl/>
        </w:rPr>
        <w:t xml:space="preserve">ويتكون ميزان المدفوعات من جزأين، </w:t>
      </w:r>
      <w:r w:rsidRPr="00165FD2">
        <w:rPr>
          <w:rFonts w:cs="Simplified Arabic" w:hint="cs"/>
          <w:color w:val="000000" w:themeColor="text1"/>
          <w:rtl/>
        </w:rPr>
        <w:t>الحساب الجاري</w:t>
      </w:r>
      <w:r w:rsidR="002B7F29">
        <w:rPr>
          <w:rFonts w:cs="Simplified Arabic" w:hint="cs"/>
          <w:color w:val="000000" w:themeColor="text1"/>
          <w:rtl/>
        </w:rPr>
        <w:t xml:space="preserve"> و</w:t>
      </w:r>
      <w:r w:rsidR="002B7F29" w:rsidRPr="00165FD2">
        <w:rPr>
          <w:rFonts w:cs="Simplified Arabic" w:hint="cs"/>
          <w:color w:val="000000" w:themeColor="text1"/>
          <w:rtl/>
        </w:rPr>
        <w:t>الحساب</w:t>
      </w:r>
      <w:r w:rsidR="002B7F29">
        <w:rPr>
          <w:rFonts w:cs="Simplified Arabic" w:hint="cs"/>
          <w:color w:val="000000" w:themeColor="text1"/>
          <w:rtl/>
        </w:rPr>
        <w:t xml:space="preserve"> </w:t>
      </w:r>
      <w:r w:rsidR="002B7F29" w:rsidRPr="00165FD2">
        <w:rPr>
          <w:rFonts w:cs="Simplified Arabic" w:hint="cs"/>
          <w:color w:val="000000" w:themeColor="text1"/>
          <w:rtl/>
        </w:rPr>
        <w:t xml:space="preserve">الرأسمالي </w:t>
      </w:r>
      <w:r w:rsidR="002B7F29">
        <w:rPr>
          <w:rFonts w:cs="Simplified Arabic" w:hint="cs"/>
          <w:color w:val="000000" w:themeColor="text1"/>
          <w:rtl/>
        </w:rPr>
        <w:t>و</w:t>
      </w:r>
      <w:r w:rsidR="002B7F29" w:rsidRPr="00165FD2">
        <w:rPr>
          <w:rFonts w:cs="Simplified Arabic" w:hint="cs"/>
          <w:color w:val="000000" w:themeColor="text1"/>
          <w:rtl/>
        </w:rPr>
        <w:t>المالي</w:t>
      </w:r>
      <w:r w:rsidR="002B7F29">
        <w:rPr>
          <w:rFonts w:cs="Simplified Arabic" w:hint="cs"/>
          <w:color w:val="000000" w:themeColor="text1"/>
          <w:rtl/>
        </w:rPr>
        <w:t xml:space="preserve">. ويشمل الحساب الجاري </w:t>
      </w:r>
      <w:r w:rsidR="000E4153">
        <w:rPr>
          <w:rFonts w:cs="Simplified Arabic" w:hint="cs"/>
          <w:color w:val="000000" w:themeColor="text1"/>
          <w:rtl/>
        </w:rPr>
        <w:t>أربع حسابات فرعية هي</w:t>
      </w:r>
      <w:r w:rsidR="002B7F29">
        <w:rPr>
          <w:rFonts w:cs="Simplified Arabic" w:hint="cs"/>
          <w:color w:val="000000" w:themeColor="text1"/>
          <w:rtl/>
        </w:rPr>
        <w:t xml:space="preserve"> </w:t>
      </w:r>
      <w:r w:rsidR="002B7F29" w:rsidRPr="002B7F29">
        <w:rPr>
          <w:rFonts w:cs="Simplified Arabic"/>
          <w:color w:val="000000" w:themeColor="text1"/>
          <w:rtl/>
        </w:rPr>
        <w:t xml:space="preserve">السلع، </w:t>
      </w:r>
      <w:r w:rsidR="002B7F29">
        <w:rPr>
          <w:rFonts w:cs="Simplified Arabic" w:hint="cs"/>
          <w:color w:val="000000" w:themeColor="text1"/>
          <w:rtl/>
        </w:rPr>
        <w:t>و</w:t>
      </w:r>
      <w:r w:rsidR="002B7F29" w:rsidRPr="002B7F29">
        <w:rPr>
          <w:rFonts w:cs="Simplified Arabic"/>
          <w:color w:val="000000" w:themeColor="text1"/>
          <w:rtl/>
        </w:rPr>
        <w:t xml:space="preserve">الخدمات، </w:t>
      </w:r>
      <w:r w:rsidR="002B7F29">
        <w:rPr>
          <w:rFonts w:cs="Simplified Arabic" w:hint="cs"/>
          <w:color w:val="000000" w:themeColor="text1"/>
          <w:rtl/>
        </w:rPr>
        <w:t>و</w:t>
      </w:r>
      <w:r w:rsidR="002B7F29" w:rsidRPr="002B7F29">
        <w:rPr>
          <w:rFonts w:cs="Simplified Arabic"/>
          <w:color w:val="000000" w:themeColor="text1"/>
          <w:rtl/>
        </w:rPr>
        <w:t>الدخل</w:t>
      </w:r>
      <w:r w:rsidR="002B7F29">
        <w:rPr>
          <w:rFonts w:cs="Simplified Arabic" w:hint="cs"/>
          <w:color w:val="000000" w:themeColor="text1"/>
          <w:rtl/>
        </w:rPr>
        <w:t>،</w:t>
      </w:r>
      <w:r w:rsidR="002B7F29" w:rsidRPr="002B7F29">
        <w:rPr>
          <w:rFonts w:cs="Simplified Arabic"/>
          <w:color w:val="000000" w:themeColor="text1"/>
          <w:rtl/>
        </w:rPr>
        <w:t xml:space="preserve"> والتحويلات الجارية</w:t>
      </w:r>
      <w:r w:rsidR="002B7F29">
        <w:rPr>
          <w:rFonts w:cs="Simplified Arabic" w:hint="cs"/>
          <w:color w:val="000000" w:themeColor="text1"/>
          <w:rtl/>
        </w:rPr>
        <w:t xml:space="preserve">، بينما يشمل الحساب </w:t>
      </w:r>
      <w:proofErr w:type="spellStart"/>
      <w:r w:rsidR="002B7F29">
        <w:rPr>
          <w:rFonts w:cs="Simplified Arabic" w:hint="cs"/>
          <w:color w:val="000000" w:themeColor="text1"/>
          <w:rtl/>
        </w:rPr>
        <w:t>الراسمالي</w:t>
      </w:r>
      <w:proofErr w:type="spellEnd"/>
      <w:r w:rsidR="002B7F29">
        <w:rPr>
          <w:rFonts w:cs="Simplified Arabic" w:hint="cs"/>
          <w:color w:val="000000" w:themeColor="text1"/>
          <w:rtl/>
        </w:rPr>
        <w:t xml:space="preserve"> </w:t>
      </w:r>
      <w:r w:rsidR="002B7F29" w:rsidRPr="002B7F29">
        <w:rPr>
          <w:rFonts w:cs="Simplified Arabic"/>
          <w:color w:val="000000" w:themeColor="text1"/>
          <w:rtl/>
        </w:rPr>
        <w:t xml:space="preserve">التحويلات </w:t>
      </w:r>
      <w:r w:rsidR="002B7F29" w:rsidRPr="002B7F29">
        <w:rPr>
          <w:rFonts w:cs="Simplified Arabic" w:hint="eastAsia"/>
          <w:color w:val="000000" w:themeColor="text1"/>
          <w:rtl/>
        </w:rPr>
        <w:t>الرأسمالية</w:t>
      </w:r>
      <w:r w:rsidR="002B7F29" w:rsidRPr="002B7F29">
        <w:rPr>
          <w:rFonts w:cs="Simplified Arabic"/>
          <w:color w:val="000000" w:themeColor="text1"/>
          <w:rtl/>
        </w:rPr>
        <w:t xml:space="preserve"> وحيازة الأصول غير المالية غير المنتجة أو التخلص منها</w:t>
      </w:r>
      <w:r w:rsidR="00A56F8C">
        <w:rPr>
          <w:rStyle w:val="FootnoteReference"/>
          <w:rtl/>
        </w:rPr>
        <w:footnoteReference w:customMarkFollows="1" w:id="3"/>
        <w:t>1</w:t>
      </w:r>
      <w:r w:rsidR="002B7F29">
        <w:rPr>
          <w:rFonts w:cs="Simplified Arabic" w:hint="cs"/>
          <w:sz w:val="18"/>
          <w:szCs w:val="18"/>
          <w:rtl/>
        </w:rPr>
        <w:t xml:space="preserve">. </w:t>
      </w:r>
      <w:r w:rsidR="002B7F29" w:rsidRPr="002B7F29">
        <w:rPr>
          <w:rFonts w:cs="Simplified Arabic" w:hint="cs"/>
          <w:color w:val="000000" w:themeColor="text1"/>
          <w:rtl/>
        </w:rPr>
        <w:t xml:space="preserve">أما </w:t>
      </w:r>
      <w:r w:rsidR="002B7F29" w:rsidRPr="002B7F29">
        <w:rPr>
          <w:rFonts w:cs="Simplified Arabic"/>
          <w:color w:val="000000" w:themeColor="text1"/>
          <w:rtl/>
        </w:rPr>
        <w:t>الحساب المالي</w:t>
      </w:r>
      <w:r w:rsidR="002B7F29">
        <w:rPr>
          <w:rFonts w:cs="Simplified Arabic" w:hint="cs"/>
          <w:color w:val="000000" w:themeColor="text1"/>
          <w:rtl/>
        </w:rPr>
        <w:t xml:space="preserve"> فيشمل</w:t>
      </w:r>
      <w:r w:rsidR="002B7F29" w:rsidRPr="002B7F29">
        <w:rPr>
          <w:rFonts w:cs="Simplified Arabic"/>
          <w:color w:val="000000" w:themeColor="text1"/>
          <w:rtl/>
        </w:rPr>
        <w:t xml:space="preserve"> </w:t>
      </w:r>
      <w:r w:rsidR="002B7F29" w:rsidRPr="002B7F29">
        <w:rPr>
          <w:rFonts w:cs="Simplified Arabic" w:hint="eastAsia"/>
          <w:color w:val="000000" w:themeColor="text1"/>
          <w:rtl/>
        </w:rPr>
        <w:t>الاستثمار</w:t>
      </w:r>
      <w:r w:rsidR="002B7F29" w:rsidRPr="002B7F29">
        <w:rPr>
          <w:rFonts w:cs="Simplified Arabic"/>
          <w:color w:val="000000" w:themeColor="text1"/>
          <w:rtl/>
        </w:rPr>
        <w:t xml:space="preserve"> المباشر</w:t>
      </w:r>
      <w:r w:rsidR="000E4153">
        <w:rPr>
          <w:rFonts w:cs="Simplified Arabic" w:hint="cs"/>
          <w:color w:val="000000" w:themeColor="text1"/>
          <w:rtl/>
        </w:rPr>
        <w:t>،</w:t>
      </w:r>
      <w:r w:rsidR="002B7F29" w:rsidRPr="002B7F29">
        <w:rPr>
          <w:rFonts w:cs="Simplified Arabic"/>
          <w:color w:val="000000" w:themeColor="text1"/>
          <w:rtl/>
        </w:rPr>
        <w:t xml:space="preserve"> وا</w:t>
      </w:r>
      <w:r w:rsidR="000E4153">
        <w:rPr>
          <w:rFonts w:cs="Simplified Arabic" w:hint="cs"/>
          <w:color w:val="000000" w:themeColor="text1"/>
          <w:rtl/>
        </w:rPr>
        <w:t>لا</w:t>
      </w:r>
      <w:r w:rsidR="002B7F29" w:rsidRPr="002B7F29">
        <w:rPr>
          <w:rFonts w:cs="Simplified Arabic"/>
          <w:color w:val="000000" w:themeColor="text1"/>
          <w:rtl/>
        </w:rPr>
        <w:t xml:space="preserve">ستثمار </w:t>
      </w:r>
      <w:r w:rsidR="000E4153">
        <w:rPr>
          <w:rFonts w:cs="Simplified Arabic" w:hint="cs"/>
          <w:color w:val="000000" w:themeColor="text1"/>
          <w:rtl/>
        </w:rPr>
        <w:t>غير المباشر،</w:t>
      </w:r>
      <w:r w:rsidR="002B7F29" w:rsidRPr="002B7F29">
        <w:rPr>
          <w:rFonts w:cs="Simplified Arabic"/>
          <w:color w:val="000000" w:themeColor="text1"/>
          <w:rtl/>
        </w:rPr>
        <w:t xml:space="preserve"> والاستثمارات الأخرى</w:t>
      </w:r>
      <w:r w:rsidR="000E4153">
        <w:rPr>
          <w:rFonts w:cs="Simplified Arabic" w:hint="cs"/>
          <w:color w:val="000000" w:themeColor="text1"/>
          <w:rtl/>
        </w:rPr>
        <w:t>،</w:t>
      </w:r>
      <w:r w:rsidR="002B7F29" w:rsidRPr="002B7F29">
        <w:rPr>
          <w:rFonts w:cs="Simplified Arabic"/>
          <w:color w:val="000000" w:themeColor="text1"/>
          <w:rtl/>
        </w:rPr>
        <w:t xml:space="preserve"> والأصول الاحتياطية.</w:t>
      </w:r>
      <w:r w:rsidR="002B7F29" w:rsidRPr="00165FD2" w:rsidDel="002B7F29">
        <w:rPr>
          <w:rFonts w:cs="Simplified Arabic" w:hint="cs"/>
          <w:color w:val="000000" w:themeColor="text1"/>
          <w:rtl/>
        </w:rPr>
        <w:t xml:space="preserve"> </w:t>
      </w:r>
    </w:p>
    <w:p w:rsidR="00DE4F17" w:rsidRDefault="00DE4F17" w:rsidP="002B7F29">
      <w:pPr>
        <w:jc w:val="lowKashida"/>
        <w:rPr>
          <w:rFonts w:cs="Simplified Arabic"/>
          <w:color w:val="000000" w:themeColor="text1"/>
          <w:rtl/>
        </w:rPr>
      </w:pPr>
    </w:p>
    <w:p w:rsidR="00F20ABE" w:rsidRDefault="00F20ABE" w:rsidP="007254CC">
      <w:pPr>
        <w:spacing w:before="240"/>
        <w:jc w:val="both"/>
        <w:rPr>
          <w:rFonts w:cs="Simplified Arabic"/>
          <w:color w:val="000000" w:themeColor="text1"/>
          <w:rtl/>
        </w:rPr>
      </w:pPr>
      <w:r w:rsidRPr="00793DB2">
        <w:rPr>
          <w:rFonts w:cs="Simplified Arabic" w:hint="cs"/>
          <w:b/>
          <w:bCs/>
          <w:color w:val="000000" w:themeColor="text1"/>
          <w:rtl/>
        </w:rPr>
        <w:t xml:space="preserve">ارتفع عجز الحساب الجاري في الأراضي الفلسطينية خلال عام 2011 ليصل إلى </w:t>
      </w:r>
      <w:r w:rsidRPr="00793DB2">
        <w:rPr>
          <w:rFonts w:cs="Simplified Arabic"/>
          <w:b/>
          <w:bCs/>
          <w:color w:val="000000" w:themeColor="text1"/>
        </w:rPr>
        <w:t>1,894.4</w:t>
      </w:r>
      <w:r w:rsidRPr="00793DB2">
        <w:rPr>
          <w:rFonts w:cs="Simplified Arabic" w:hint="cs"/>
          <w:b/>
          <w:bCs/>
          <w:color w:val="000000" w:themeColor="text1"/>
          <w:rtl/>
        </w:rPr>
        <w:t xml:space="preserve"> مليون دولار </w:t>
      </w:r>
      <w:r w:rsidR="00793DB2">
        <w:rPr>
          <w:rFonts w:cs="Simplified Arabic" w:hint="cs"/>
          <w:b/>
          <w:bCs/>
          <w:color w:val="000000" w:themeColor="text1"/>
          <w:rtl/>
        </w:rPr>
        <w:t>وهو الأعلى منذ عام 2000.</w:t>
      </w:r>
      <w:r w:rsidR="001773A5" w:rsidRPr="001773A5">
        <w:rPr>
          <w:rFonts w:cs="Simplified Arabic" w:hint="cs"/>
          <w:color w:val="000000" w:themeColor="text1"/>
          <w:rtl/>
        </w:rPr>
        <w:t xml:space="preserve"> </w:t>
      </w:r>
      <w:r w:rsidR="001773A5">
        <w:rPr>
          <w:rFonts w:cs="Simplified Arabic" w:hint="cs"/>
          <w:color w:val="000000" w:themeColor="text1"/>
          <w:rtl/>
        </w:rPr>
        <w:t xml:space="preserve">وتعزى </w:t>
      </w:r>
      <w:r w:rsidR="001773A5" w:rsidRPr="00165FD2">
        <w:rPr>
          <w:rFonts w:cs="Simplified Arabic" w:hint="cs"/>
          <w:color w:val="000000" w:themeColor="text1"/>
          <w:rtl/>
        </w:rPr>
        <w:t xml:space="preserve">أسباب هذا العجز </w:t>
      </w:r>
      <w:r w:rsidR="001773A5">
        <w:rPr>
          <w:rFonts w:cs="Simplified Arabic" w:hint="cs"/>
          <w:color w:val="000000" w:themeColor="text1"/>
          <w:rtl/>
        </w:rPr>
        <w:t>إلى</w:t>
      </w:r>
      <w:r w:rsidR="001773A5" w:rsidRPr="00165FD2">
        <w:rPr>
          <w:rFonts w:cs="Simplified Arabic" w:hint="cs"/>
          <w:color w:val="000000" w:themeColor="text1"/>
          <w:rtl/>
        </w:rPr>
        <w:t xml:space="preserve"> </w:t>
      </w:r>
      <w:r w:rsidR="001773A5">
        <w:rPr>
          <w:rFonts w:cs="Simplified Arabic" w:hint="cs"/>
          <w:color w:val="000000" w:themeColor="text1"/>
          <w:rtl/>
        </w:rPr>
        <w:t>ال</w:t>
      </w:r>
      <w:r w:rsidR="001773A5" w:rsidRPr="00165FD2">
        <w:rPr>
          <w:rFonts w:cs="Simplified Arabic" w:hint="cs"/>
          <w:color w:val="000000" w:themeColor="text1"/>
          <w:rtl/>
        </w:rPr>
        <w:t>ارتفاع</w:t>
      </w:r>
      <w:r w:rsidR="001773A5">
        <w:rPr>
          <w:rFonts w:cs="Simplified Arabic" w:hint="cs"/>
          <w:color w:val="000000" w:themeColor="text1"/>
          <w:rtl/>
        </w:rPr>
        <w:t xml:space="preserve"> المطرد</w:t>
      </w:r>
      <w:r w:rsidR="001773A5" w:rsidRPr="00165FD2">
        <w:rPr>
          <w:rFonts w:cs="Simplified Arabic" w:hint="cs"/>
          <w:color w:val="000000" w:themeColor="text1"/>
          <w:rtl/>
        </w:rPr>
        <w:t xml:space="preserve"> في قيمة الواردات من السلع والخدمات إلى فلسطين</w:t>
      </w:r>
      <w:r w:rsidR="001773A5">
        <w:rPr>
          <w:rFonts w:cs="Simplified Arabic" w:hint="cs"/>
          <w:color w:val="000000" w:themeColor="text1"/>
          <w:rtl/>
        </w:rPr>
        <w:t xml:space="preserve"> مقابل بقاء الصادرات الفلسطينية ضمن مستواها العام</w:t>
      </w:r>
      <w:r w:rsidR="001773A5" w:rsidRPr="00165FD2">
        <w:rPr>
          <w:rFonts w:cs="Simplified Arabic" w:hint="cs"/>
          <w:color w:val="000000" w:themeColor="text1"/>
          <w:rtl/>
        </w:rPr>
        <w:t xml:space="preserve"> وهو ما انعكس على قيمة العجز في الميزان التجاري الذي يشكل أحد أهم مركبات الحساب الجاري لميزان </w:t>
      </w:r>
      <w:proofErr w:type="spellStart"/>
      <w:r w:rsidR="001773A5" w:rsidRPr="00165FD2">
        <w:rPr>
          <w:rFonts w:cs="Simplified Arabic" w:hint="cs"/>
          <w:color w:val="000000" w:themeColor="text1"/>
          <w:rtl/>
        </w:rPr>
        <w:t>المدفوعات</w:t>
      </w:r>
      <w:r w:rsidR="000E4153">
        <w:rPr>
          <w:rFonts w:cs="Simplified Arabic" w:hint="cs"/>
          <w:color w:val="000000" w:themeColor="text1"/>
          <w:rtl/>
        </w:rPr>
        <w:t>،</w:t>
      </w:r>
      <w:proofErr w:type="spellEnd"/>
      <w:r w:rsidR="001773A5" w:rsidRPr="00165FD2">
        <w:rPr>
          <w:rFonts w:cs="Simplified Arabic" w:hint="cs"/>
          <w:color w:val="000000" w:themeColor="text1"/>
          <w:rtl/>
        </w:rPr>
        <w:t xml:space="preserve"> إضافة الى انخفاض قيمة التحويلات الجارية المقبوضة من العالم الخارجي.</w:t>
      </w:r>
    </w:p>
    <w:p w:rsidR="00FF3804" w:rsidRDefault="00FF3804" w:rsidP="007254CC">
      <w:pPr>
        <w:spacing w:before="240"/>
        <w:jc w:val="both"/>
        <w:rPr>
          <w:rFonts w:cs="Simplified Arabic"/>
          <w:color w:val="000000" w:themeColor="text1"/>
          <w:rtl/>
        </w:rPr>
      </w:pPr>
    </w:p>
    <w:p w:rsidR="00FF3804" w:rsidRDefault="00FF3804" w:rsidP="007254CC">
      <w:pPr>
        <w:spacing w:before="240"/>
        <w:jc w:val="both"/>
        <w:rPr>
          <w:rFonts w:cs="Simplified Arabic"/>
          <w:color w:val="000000" w:themeColor="text1"/>
          <w:rtl/>
        </w:rPr>
      </w:pPr>
    </w:p>
    <w:p w:rsidR="00FF3804" w:rsidRDefault="00FF3804" w:rsidP="007254CC">
      <w:pPr>
        <w:spacing w:before="240"/>
        <w:jc w:val="both"/>
        <w:rPr>
          <w:rFonts w:cs="Simplified Arabic"/>
          <w:color w:val="000000" w:themeColor="text1"/>
          <w:rtl/>
        </w:rPr>
      </w:pPr>
    </w:p>
    <w:p w:rsidR="00F21D27" w:rsidRDefault="00F21D27" w:rsidP="00947AA0">
      <w:pPr>
        <w:pStyle w:val="Heading1"/>
        <w:rPr>
          <w:sz w:val="22"/>
          <w:szCs w:val="22"/>
          <w:rtl/>
        </w:rPr>
      </w:pPr>
    </w:p>
    <w:p w:rsidR="00F63205" w:rsidRPr="005A7EB5" w:rsidRDefault="00B45AC2" w:rsidP="00F21D27">
      <w:pPr>
        <w:pStyle w:val="Heading1"/>
        <w:rPr>
          <w:sz w:val="22"/>
          <w:szCs w:val="22"/>
          <w:rtl/>
        </w:rPr>
      </w:pPr>
      <w:r w:rsidRPr="005A7EB5">
        <w:rPr>
          <w:rFonts w:hint="cs"/>
          <w:sz w:val="22"/>
          <w:szCs w:val="22"/>
          <w:rtl/>
        </w:rPr>
        <w:t>جدول</w:t>
      </w:r>
      <w:r w:rsidR="00F21D27">
        <w:rPr>
          <w:rFonts w:hint="cs"/>
          <w:sz w:val="22"/>
          <w:szCs w:val="22"/>
          <w:rtl/>
        </w:rPr>
        <w:t xml:space="preserve"> 7</w:t>
      </w:r>
      <w:r w:rsidRPr="005A7EB5">
        <w:rPr>
          <w:rFonts w:hint="cs"/>
          <w:sz w:val="22"/>
          <w:szCs w:val="22"/>
          <w:rtl/>
        </w:rPr>
        <w:t xml:space="preserve">: أبرز المؤشرات التي تدخل ضمن تركيب الحساب الجاري </w:t>
      </w:r>
      <w:r w:rsidR="00947AA0">
        <w:rPr>
          <w:rFonts w:hint="cs"/>
          <w:sz w:val="22"/>
          <w:szCs w:val="22"/>
          <w:rtl/>
        </w:rPr>
        <w:t xml:space="preserve"> </w:t>
      </w:r>
      <w:r w:rsidR="00947AA0" w:rsidRPr="004F33D8">
        <w:rPr>
          <w:rFonts w:hint="cs"/>
          <w:sz w:val="22"/>
          <w:szCs w:val="22"/>
          <w:rtl/>
        </w:rPr>
        <w:t>في الأراضي الفلسطينية</w:t>
      </w:r>
      <w:r w:rsidRPr="005A7EB5">
        <w:rPr>
          <w:rFonts w:hint="cs"/>
          <w:sz w:val="22"/>
          <w:szCs w:val="22"/>
          <w:rtl/>
        </w:rPr>
        <w:t>، (2004-20</w:t>
      </w:r>
      <w:r w:rsidR="001D60A3" w:rsidRPr="005A7EB5">
        <w:rPr>
          <w:rFonts w:hint="cs"/>
          <w:sz w:val="22"/>
          <w:szCs w:val="22"/>
          <w:rtl/>
        </w:rPr>
        <w:t>11</w:t>
      </w:r>
      <w:r w:rsidRPr="005A7EB5">
        <w:rPr>
          <w:rFonts w:hint="cs"/>
          <w:sz w:val="22"/>
          <w:szCs w:val="22"/>
          <w:rtl/>
        </w:rPr>
        <w:t>)</w:t>
      </w:r>
    </w:p>
    <w:p w:rsidR="00F63205" w:rsidRPr="00165FD2" w:rsidRDefault="00FC49FF">
      <w:pPr>
        <w:ind w:left="-154"/>
        <w:jc w:val="both"/>
        <w:rPr>
          <w:rFonts w:cs="Simplified Arabic"/>
          <w:color w:val="000000" w:themeColor="text1"/>
          <w:sz w:val="18"/>
          <w:szCs w:val="18"/>
          <w:rtl/>
        </w:rPr>
      </w:pPr>
      <w:r>
        <w:rPr>
          <w:rFonts w:cs="Simplified Arabic" w:hint="cs"/>
          <w:color w:val="000000" w:themeColor="text1"/>
          <w:sz w:val="18"/>
          <w:szCs w:val="18"/>
          <w:rtl/>
        </w:rPr>
        <w:t xml:space="preserve">  </w:t>
      </w:r>
      <w:r w:rsidR="00B45AC2" w:rsidRPr="00165FD2">
        <w:rPr>
          <w:rFonts w:cs="Simplified Arabic" w:hint="cs"/>
          <w:color w:val="000000" w:themeColor="text1"/>
          <w:sz w:val="18"/>
          <w:szCs w:val="18"/>
          <w:rtl/>
        </w:rPr>
        <w:t>(القيمة بالمليون دولار)</w:t>
      </w:r>
    </w:p>
    <w:tbl>
      <w:tblPr>
        <w:bidiVisual/>
        <w:tblW w:w="9335" w:type="dxa"/>
        <w:jc w:val="center"/>
        <w:tblBorders>
          <w:top w:val="single" w:sz="12" w:space="0" w:color="auto"/>
          <w:bottom w:val="single" w:sz="12" w:space="0" w:color="auto"/>
        </w:tblBorders>
        <w:tblLook w:val="0000"/>
      </w:tblPr>
      <w:tblGrid>
        <w:gridCol w:w="2470"/>
        <w:gridCol w:w="992"/>
        <w:gridCol w:w="851"/>
        <w:gridCol w:w="837"/>
        <w:gridCol w:w="837"/>
        <w:gridCol w:w="837"/>
        <w:gridCol w:w="837"/>
        <w:gridCol w:w="837"/>
        <w:gridCol w:w="837"/>
      </w:tblGrid>
      <w:tr w:rsidR="00B87949" w:rsidRPr="00165FD2" w:rsidTr="00866E5C">
        <w:trPr>
          <w:trHeight w:val="217"/>
          <w:jc w:val="center"/>
        </w:trPr>
        <w:tc>
          <w:tcPr>
            <w:tcW w:w="2470" w:type="dxa"/>
            <w:tcBorders>
              <w:top w:val="single" w:sz="12" w:space="0" w:color="auto"/>
              <w:bottom w:val="single" w:sz="12" w:space="0" w:color="auto"/>
            </w:tcBorders>
          </w:tcPr>
          <w:p w:rsidR="00B87949" w:rsidRPr="00FB36FA" w:rsidRDefault="00B87949">
            <w:pPr>
              <w:rPr>
                <w:rFonts w:ascii="Arial" w:hAnsi="Arial" w:cs="Arial"/>
                <w:b/>
                <w:bCs/>
                <w:color w:val="000000" w:themeColor="text1"/>
                <w:sz w:val="18"/>
                <w:szCs w:val="18"/>
              </w:rPr>
            </w:pPr>
          </w:p>
        </w:tc>
        <w:tc>
          <w:tcPr>
            <w:tcW w:w="992" w:type="dxa"/>
            <w:tcBorders>
              <w:top w:val="single" w:sz="12" w:space="0" w:color="auto"/>
              <w:bottom w:val="single" w:sz="12" w:space="0" w:color="auto"/>
            </w:tcBorders>
          </w:tcPr>
          <w:p w:rsidR="00B87949" w:rsidRPr="00FB36FA" w:rsidRDefault="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2004</w:t>
            </w:r>
          </w:p>
        </w:tc>
        <w:tc>
          <w:tcPr>
            <w:tcW w:w="851" w:type="dxa"/>
            <w:tcBorders>
              <w:top w:val="single" w:sz="12" w:space="0" w:color="auto"/>
              <w:bottom w:val="single" w:sz="12" w:space="0" w:color="auto"/>
            </w:tcBorders>
          </w:tcPr>
          <w:p w:rsidR="00B87949" w:rsidRPr="00FB36FA" w:rsidRDefault="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2005</w:t>
            </w:r>
          </w:p>
        </w:tc>
        <w:tc>
          <w:tcPr>
            <w:tcW w:w="837" w:type="dxa"/>
            <w:tcBorders>
              <w:top w:val="single" w:sz="12" w:space="0" w:color="auto"/>
              <w:bottom w:val="single" w:sz="12" w:space="0" w:color="auto"/>
            </w:tcBorders>
          </w:tcPr>
          <w:p w:rsidR="00B87949" w:rsidRPr="00FB36FA" w:rsidRDefault="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2006</w:t>
            </w:r>
          </w:p>
        </w:tc>
        <w:tc>
          <w:tcPr>
            <w:tcW w:w="837" w:type="dxa"/>
            <w:tcBorders>
              <w:top w:val="single" w:sz="12" w:space="0" w:color="auto"/>
              <w:bottom w:val="single" w:sz="12" w:space="0" w:color="auto"/>
            </w:tcBorders>
          </w:tcPr>
          <w:p w:rsidR="00B87949" w:rsidRPr="00FB36FA" w:rsidRDefault="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2007</w:t>
            </w:r>
          </w:p>
        </w:tc>
        <w:tc>
          <w:tcPr>
            <w:tcW w:w="837" w:type="dxa"/>
            <w:tcBorders>
              <w:top w:val="single" w:sz="12" w:space="0" w:color="auto"/>
              <w:bottom w:val="single" w:sz="12" w:space="0" w:color="auto"/>
            </w:tcBorders>
          </w:tcPr>
          <w:p w:rsidR="00B87949" w:rsidRPr="00FB36FA" w:rsidRDefault="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2008</w:t>
            </w:r>
          </w:p>
        </w:tc>
        <w:tc>
          <w:tcPr>
            <w:tcW w:w="837" w:type="dxa"/>
            <w:tcBorders>
              <w:top w:val="single" w:sz="12" w:space="0" w:color="auto"/>
              <w:bottom w:val="single" w:sz="12" w:space="0" w:color="auto"/>
            </w:tcBorders>
          </w:tcPr>
          <w:p w:rsidR="00B87949" w:rsidRPr="00FB36FA" w:rsidRDefault="00B87949">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2009</w:t>
            </w:r>
          </w:p>
        </w:tc>
        <w:tc>
          <w:tcPr>
            <w:tcW w:w="837" w:type="dxa"/>
            <w:tcBorders>
              <w:top w:val="single" w:sz="12" w:space="0" w:color="auto"/>
              <w:bottom w:val="single" w:sz="12" w:space="0" w:color="auto"/>
            </w:tcBorders>
          </w:tcPr>
          <w:p w:rsidR="00B87949" w:rsidRPr="00FB36FA" w:rsidRDefault="00B87949" w:rsidP="000E5446">
            <w:pPr>
              <w:jc w:val="center"/>
              <w:rPr>
                <w:rFonts w:ascii="Arial" w:hAnsi="Arial" w:cs="Arial"/>
                <w:b/>
                <w:bCs/>
                <w:color w:val="000000" w:themeColor="text1"/>
                <w:sz w:val="18"/>
                <w:szCs w:val="18"/>
              </w:rPr>
            </w:pPr>
            <w:r w:rsidRPr="00FB36FA">
              <w:rPr>
                <w:rFonts w:ascii="Arial" w:hAnsi="Arial" w:cs="Arial"/>
                <w:b/>
                <w:bCs/>
                <w:color w:val="000000" w:themeColor="text1"/>
                <w:sz w:val="18"/>
                <w:szCs w:val="18"/>
                <w:rtl/>
              </w:rPr>
              <w:t>2010</w:t>
            </w:r>
          </w:p>
        </w:tc>
        <w:tc>
          <w:tcPr>
            <w:tcW w:w="837" w:type="dxa"/>
            <w:tcBorders>
              <w:top w:val="single" w:sz="12" w:space="0" w:color="auto"/>
              <w:bottom w:val="single" w:sz="12" w:space="0" w:color="auto"/>
            </w:tcBorders>
          </w:tcPr>
          <w:p w:rsidR="00B87949" w:rsidRPr="00FB36FA" w:rsidRDefault="000E5446">
            <w:pPr>
              <w:jc w:val="center"/>
              <w:rPr>
                <w:rFonts w:ascii="Arial" w:hAnsi="Arial" w:cs="Arial"/>
                <w:b/>
                <w:bCs/>
                <w:color w:val="000000" w:themeColor="text1"/>
                <w:sz w:val="18"/>
                <w:szCs w:val="18"/>
                <w:rtl/>
              </w:rPr>
            </w:pPr>
            <w:r w:rsidRPr="00FB36FA">
              <w:rPr>
                <w:rFonts w:ascii="Arial" w:hAnsi="Arial" w:cs="Arial"/>
                <w:b/>
                <w:bCs/>
                <w:color w:val="000000" w:themeColor="text1"/>
                <w:sz w:val="18"/>
                <w:szCs w:val="18"/>
                <w:rtl/>
              </w:rPr>
              <w:t>*</w:t>
            </w:r>
            <w:r w:rsidR="00B87949" w:rsidRPr="00FB36FA">
              <w:rPr>
                <w:rFonts w:ascii="Arial" w:hAnsi="Arial" w:cs="Arial"/>
                <w:b/>
                <w:bCs/>
                <w:color w:val="000000" w:themeColor="text1"/>
                <w:sz w:val="18"/>
                <w:szCs w:val="18"/>
                <w:rtl/>
              </w:rPr>
              <w:t>2011</w:t>
            </w:r>
          </w:p>
        </w:tc>
      </w:tr>
      <w:tr w:rsidR="006E4E8B" w:rsidRPr="00165FD2" w:rsidTr="00866E5C">
        <w:trPr>
          <w:trHeight w:val="310"/>
          <w:jc w:val="center"/>
        </w:trPr>
        <w:tc>
          <w:tcPr>
            <w:tcW w:w="2470" w:type="dxa"/>
            <w:tcBorders>
              <w:top w:val="single" w:sz="12" w:space="0" w:color="auto"/>
              <w:bottom w:val="nil"/>
            </w:tcBorders>
            <w:vAlign w:val="center"/>
          </w:tcPr>
          <w:p w:rsidR="006E4E8B" w:rsidRPr="00FB36FA" w:rsidRDefault="00866E5C">
            <w:pPr>
              <w:rPr>
                <w:rFonts w:ascii="Arial" w:hAnsi="Arial" w:cs="Arial"/>
                <w:color w:val="000000" w:themeColor="text1"/>
                <w:sz w:val="18"/>
                <w:szCs w:val="18"/>
                <w:rtl/>
              </w:rPr>
            </w:pPr>
            <w:r>
              <w:rPr>
                <w:rFonts w:ascii="Arial" w:hAnsi="Arial" w:cs="Arial" w:hint="cs"/>
                <w:color w:val="000000" w:themeColor="text1"/>
                <w:sz w:val="18"/>
                <w:szCs w:val="18"/>
                <w:rtl/>
              </w:rPr>
              <w:t>صافي الحساب الجاري</w:t>
            </w:r>
          </w:p>
        </w:tc>
        <w:tc>
          <w:tcPr>
            <w:tcW w:w="992" w:type="dxa"/>
            <w:tcBorders>
              <w:top w:val="single" w:sz="12" w:space="0" w:color="auto"/>
              <w:bottom w:val="nil"/>
            </w:tcBorders>
            <w:vAlign w:val="center"/>
          </w:tcPr>
          <w:p w:rsidR="006E4E8B" w:rsidRPr="00FB36FA" w:rsidRDefault="00866E5C" w:rsidP="001D60A3">
            <w:pPr>
              <w:bidi w:val="0"/>
              <w:jc w:val="center"/>
              <w:rPr>
                <w:rFonts w:ascii="Arial" w:hAnsi="Arial" w:cs="Arial"/>
                <w:color w:val="000000" w:themeColor="text1"/>
                <w:sz w:val="18"/>
                <w:szCs w:val="18"/>
              </w:rPr>
            </w:pPr>
            <w:r>
              <w:rPr>
                <w:rFonts w:ascii="Arial" w:hAnsi="Arial" w:cs="Arial"/>
                <w:color w:val="000000" w:themeColor="text1"/>
                <w:sz w:val="18"/>
                <w:szCs w:val="18"/>
              </w:rPr>
              <w:t>-1,516.0</w:t>
            </w:r>
          </w:p>
        </w:tc>
        <w:tc>
          <w:tcPr>
            <w:tcW w:w="851" w:type="dxa"/>
            <w:tcBorders>
              <w:top w:val="single" w:sz="12" w:space="0" w:color="auto"/>
              <w:bottom w:val="nil"/>
            </w:tcBorders>
            <w:vAlign w:val="center"/>
          </w:tcPr>
          <w:p w:rsidR="006E4E8B" w:rsidRPr="00FB36FA" w:rsidRDefault="00866E5C" w:rsidP="001D60A3">
            <w:pPr>
              <w:bidi w:val="0"/>
              <w:jc w:val="center"/>
              <w:rPr>
                <w:rFonts w:ascii="Arial" w:hAnsi="Arial" w:cs="Arial"/>
                <w:color w:val="000000" w:themeColor="text1"/>
                <w:sz w:val="18"/>
                <w:szCs w:val="18"/>
              </w:rPr>
            </w:pPr>
            <w:r>
              <w:rPr>
                <w:rFonts w:ascii="Arial" w:hAnsi="Arial" w:cs="Arial"/>
                <w:color w:val="000000" w:themeColor="text1"/>
                <w:sz w:val="18"/>
                <w:szCs w:val="18"/>
              </w:rPr>
              <w:t>-1152.2</w:t>
            </w:r>
          </w:p>
        </w:tc>
        <w:tc>
          <w:tcPr>
            <w:tcW w:w="837" w:type="dxa"/>
            <w:tcBorders>
              <w:top w:val="single" w:sz="12" w:space="0" w:color="auto"/>
              <w:bottom w:val="nil"/>
            </w:tcBorders>
            <w:vAlign w:val="center"/>
          </w:tcPr>
          <w:p w:rsidR="006E4E8B" w:rsidRPr="00FB36FA" w:rsidRDefault="00866E5C" w:rsidP="001D60A3">
            <w:pPr>
              <w:bidi w:val="0"/>
              <w:jc w:val="center"/>
              <w:rPr>
                <w:rFonts w:ascii="Arial" w:hAnsi="Arial" w:cs="Arial"/>
                <w:color w:val="000000" w:themeColor="text1"/>
                <w:sz w:val="18"/>
                <w:szCs w:val="18"/>
              </w:rPr>
            </w:pPr>
            <w:r>
              <w:rPr>
                <w:rFonts w:ascii="Arial" w:hAnsi="Arial" w:cs="Arial"/>
                <w:color w:val="000000" w:themeColor="text1"/>
                <w:sz w:val="18"/>
                <w:szCs w:val="18"/>
              </w:rPr>
              <w:t>-912.9</w:t>
            </w:r>
          </w:p>
        </w:tc>
        <w:tc>
          <w:tcPr>
            <w:tcW w:w="837" w:type="dxa"/>
            <w:tcBorders>
              <w:top w:val="single" w:sz="12" w:space="0" w:color="auto"/>
              <w:bottom w:val="nil"/>
            </w:tcBorders>
            <w:vAlign w:val="center"/>
          </w:tcPr>
          <w:p w:rsidR="006E4E8B" w:rsidRPr="00FB36FA" w:rsidRDefault="00866E5C" w:rsidP="001D60A3">
            <w:pPr>
              <w:bidi w:val="0"/>
              <w:jc w:val="center"/>
              <w:rPr>
                <w:rFonts w:ascii="Arial" w:hAnsi="Arial" w:cs="Arial"/>
                <w:color w:val="000000" w:themeColor="text1"/>
                <w:sz w:val="18"/>
                <w:szCs w:val="18"/>
              </w:rPr>
            </w:pPr>
            <w:r>
              <w:rPr>
                <w:rFonts w:ascii="Arial" w:hAnsi="Arial" w:cs="Arial"/>
                <w:color w:val="000000" w:themeColor="text1"/>
                <w:sz w:val="18"/>
                <w:szCs w:val="18"/>
              </w:rPr>
              <w:t>-417.3</w:t>
            </w:r>
          </w:p>
        </w:tc>
        <w:tc>
          <w:tcPr>
            <w:tcW w:w="837" w:type="dxa"/>
            <w:tcBorders>
              <w:top w:val="single" w:sz="12" w:space="0" w:color="auto"/>
              <w:bottom w:val="nil"/>
            </w:tcBorders>
            <w:vAlign w:val="center"/>
          </w:tcPr>
          <w:p w:rsidR="006E4E8B" w:rsidRPr="00FB36FA" w:rsidRDefault="00866E5C" w:rsidP="001D60A3">
            <w:pPr>
              <w:bidi w:val="0"/>
              <w:jc w:val="center"/>
              <w:rPr>
                <w:rFonts w:ascii="Arial" w:hAnsi="Arial" w:cs="Arial"/>
                <w:color w:val="000000" w:themeColor="text1"/>
                <w:sz w:val="18"/>
                <w:szCs w:val="18"/>
                <w:rtl/>
              </w:rPr>
            </w:pPr>
            <w:r>
              <w:rPr>
                <w:rFonts w:ascii="Arial" w:hAnsi="Arial" w:cs="Arial"/>
                <w:color w:val="000000" w:themeColor="text1"/>
                <w:sz w:val="18"/>
                <w:szCs w:val="18"/>
              </w:rPr>
              <w:t>764.4</w:t>
            </w:r>
          </w:p>
        </w:tc>
        <w:tc>
          <w:tcPr>
            <w:tcW w:w="837" w:type="dxa"/>
            <w:tcBorders>
              <w:top w:val="single" w:sz="12" w:space="0" w:color="auto"/>
              <w:bottom w:val="nil"/>
            </w:tcBorders>
            <w:vAlign w:val="center"/>
          </w:tcPr>
          <w:p w:rsidR="006E4E8B" w:rsidRPr="00FB36FA" w:rsidRDefault="00866E5C" w:rsidP="001D60A3">
            <w:pPr>
              <w:jc w:val="center"/>
              <w:rPr>
                <w:rFonts w:ascii="Arial" w:hAnsi="Arial" w:cs="Arial"/>
                <w:color w:val="000000" w:themeColor="text1"/>
                <w:sz w:val="18"/>
                <w:szCs w:val="18"/>
              </w:rPr>
            </w:pPr>
            <w:r>
              <w:rPr>
                <w:rFonts w:ascii="Arial" w:hAnsi="Arial" w:cs="Arial"/>
                <w:color w:val="000000" w:themeColor="text1"/>
                <w:sz w:val="18"/>
                <w:szCs w:val="18"/>
              </w:rPr>
              <w:t>-712.5</w:t>
            </w:r>
          </w:p>
        </w:tc>
        <w:tc>
          <w:tcPr>
            <w:tcW w:w="837" w:type="dxa"/>
            <w:tcBorders>
              <w:top w:val="single" w:sz="12" w:space="0" w:color="auto"/>
              <w:bottom w:val="nil"/>
            </w:tcBorders>
            <w:vAlign w:val="center"/>
          </w:tcPr>
          <w:p w:rsidR="006E4E8B" w:rsidRPr="00FB36FA" w:rsidRDefault="00866E5C" w:rsidP="001D60A3">
            <w:pPr>
              <w:jc w:val="center"/>
              <w:rPr>
                <w:rFonts w:ascii="Arial" w:hAnsi="Arial" w:cs="Arial"/>
                <w:color w:val="000000" w:themeColor="text1"/>
                <w:sz w:val="18"/>
                <w:szCs w:val="18"/>
              </w:rPr>
            </w:pPr>
            <w:r>
              <w:rPr>
                <w:rFonts w:ascii="Arial" w:hAnsi="Arial" w:cs="Arial"/>
                <w:color w:val="000000" w:themeColor="text1"/>
                <w:sz w:val="18"/>
                <w:szCs w:val="18"/>
              </w:rPr>
              <w:t>-690.9</w:t>
            </w:r>
          </w:p>
        </w:tc>
        <w:tc>
          <w:tcPr>
            <w:tcW w:w="837" w:type="dxa"/>
            <w:tcBorders>
              <w:top w:val="single" w:sz="12" w:space="0" w:color="auto"/>
              <w:bottom w:val="nil"/>
            </w:tcBorders>
            <w:vAlign w:val="center"/>
          </w:tcPr>
          <w:p w:rsidR="006E4E8B" w:rsidRPr="00FB36FA" w:rsidRDefault="00866E5C" w:rsidP="00D27D59">
            <w:pPr>
              <w:bidi w:val="0"/>
              <w:jc w:val="center"/>
              <w:rPr>
                <w:rFonts w:ascii="Arial" w:hAnsi="Arial" w:cs="Arial"/>
                <w:color w:val="000000" w:themeColor="text1"/>
                <w:sz w:val="18"/>
                <w:szCs w:val="18"/>
              </w:rPr>
            </w:pPr>
            <w:r>
              <w:rPr>
                <w:rFonts w:ascii="Arial" w:hAnsi="Arial" w:cs="Arial"/>
                <w:color w:val="000000" w:themeColor="text1"/>
                <w:sz w:val="18"/>
                <w:szCs w:val="18"/>
              </w:rPr>
              <w:t>-1894.4</w:t>
            </w:r>
          </w:p>
        </w:tc>
      </w:tr>
      <w:tr w:rsidR="00D27D59" w:rsidRPr="00165FD2" w:rsidTr="00866E5C">
        <w:trPr>
          <w:trHeight w:val="310"/>
          <w:jc w:val="center"/>
        </w:trPr>
        <w:tc>
          <w:tcPr>
            <w:tcW w:w="2470" w:type="dxa"/>
            <w:tcBorders>
              <w:top w:val="nil"/>
            </w:tcBorders>
            <w:vAlign w:val="center"/>
          </w:tcPr>
          <w:p w:rsidR="00D27D59" w:rsidRPr="00FB36FA" w:rsidRDefault="00D27D59">
            <w:pPr>
              <w:rPr>
                <w:rFonts w:ascii="Arial" w:hAnsi="Arial" w:cs="Arial"/>
                <w:color w:val="000000" w:themeColor="text1"/>
                <w:sz w:val="18"/>
                <w:szCs w:val="18"/>
                <w:rtl/>
              </w:rPr>
            </w:pPr>
            <w:bookmarkStart w:id="7" w:name="_Hlk290792524"/>
            <w:r w:rsidRPr="00FB36FA">
              <w:rPr>
                <w:rFonts w:ascii="Arial" w:hAnsi="Arial" w:cs="Arial"/>
                <w:color w:val="000000" w:themeColor="text1"/>
                <w:sz w:val="18"/>
                <w:szCs w:val="18"/>
                <w:rtl/>
              </w:rPr>
              <w:t>تعويضات العاملين المقبوضة من الخارج</w:t>
            </w:r>
          </w:p>
        </w:tc>
        <w:tc>
          <w:tcPr>
            <w:tcW w:w="992" w:type="dxa"/>
            <w:tcBorders>
              <w:top w:val="nil"/>
            </w:tcBorders>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421.4</w:t>
            </w:r>
          </w:p>
        </w:tc>
        <w:tc>
          <w:tcPr>
            <w:tcW w:w="851" w:type="dxa"/>
            <w:tcBorders>
              <w:top w:val="nil"/>
            </w:tcBorders>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486.7</w:t>
            </w:r>
          </w:p>
        </w:tc>
        <w:tc>
          <w:tcPr>
            <w:tcW w:w="837" w:type="dxa"/>
            <w:tcBorders>
              <w:top w:val="nil"/>
            </w:tcBorders>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579.2</w:t>
            </w:r>
          </w:p>
        </w:tc>
        <w:tc>
          <w:tcPr>
            <w:tcW w:w="837" w:type="dxa"/>
            <w:tcBorders>
              <w:top w:val="nil"/>
            </w:tcBorders>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598.5</w:t>
            </w:r>
          </w:p>
        </w:tc>
        <w:tc>
          <w:tcPr>
            <w:tcW w:w="837" w:type="dxa"/>
            <w:tcBorders>
              <w:top w:val="nil"/>
            </w:tcBorders>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tl/>
              </w:rPr>
              <w:t>746.2</w:t>
            </w:r>
          </w:p>
        </w:tc>
        <w:tc>
          <w:tcPr>
            <w:tcW w:w="837" w:type="dxa"/>
            <w:tcBorders>
              <w:top w:val="nil"/>
            </w:tcBorders>
            <w:vAlign w:val="center"/>
          </w:tcPr>
          <w:p w:rsidR="00D27D59" w:rsidRPr="00FB36FA" w:rsidRDefault="00D27D59" w:rsidP="001D60A3">
            <w:pPr>
              <w:jc w:val="center"/>
              <w:rPr>
                <w:rFonts w:ascii="Arial" w:hAnsi="Arial" w:cs="Arial"/>
                <w:color w:val="000000" w:themeColor="text1"/>
                <w:sz w:val="18"/>
                <w:szCs w:val="18"/>
              </w:rPr>
            </w:pPr>
            <w:r w:rsidRPr="00FB36FA">
              <w:rPr>
                <w:rFonts w:ascii="Arial" w:hAnsi="Arial" w:cs="Arial"/>
                <w:color w:val="000000" w:themeColor="text1"/>
                <w:sz w:val="18"/>
                <w:szCs w:val="18"/>
                <w:rtl/>
              </w:rPr>
              <w:t>831.1</w:t>
            </w:r>
          </w:p>
        </w:tc>
        <w:tc>
          <w:tcPr>
            <w:tcW w:w="837" w:type="dxa"/>
            <w:tcBorders>
              <w:top w:val="nil"/>
            </w:tcBorders>
            <w:vAlign w:val="center"/>
          </w:tcPr>
          <w:p w:rsidR="00D27D59" w:rsidRPr="00FB36FA" w:rsidRDefault="00D27D59" w:rsidP="001D60A3">
            <w:pPr>
              <w:jc w:val="center"/>
              <w:rPr>
                <w:rFonts w:ascii="Arial" w:hAnsi="Arial" w:cs="Arial"/>
                <w:color w:val="000000" w:themeColor="text1"/>
                <w:sz w:val="18"/>
                <w:szCs w:val="18"/>
                <w:rtl/>
              </w:rPr>
            </w:pPr>
            <w:r w:rsidRPr="00FB36FA">
              <w:rPr>
                <w:rFonts w:ascii="Arial" w:hAnsi="Arial" w:cs="Arial"/>
                <w:color w:val="000000" w:themeColor="text1"/>
                <w:sz w:val="18"/>
                <w:szCs w:val="18"/>
              </w:rPr>
              <w:t>1,077.4</w:t>
            </w:r>
          </w:p>
        </w:tc>
        <w:tc>
          <w:tcPr>
            <w:tcW w:w="837" w:type="dxa"/>
            <w:tcBorders>
              <w:top w:val="nil"/>
            </w:tcBorders>
            <w:vAlign w:val="center"/>
          </w:tcPr>
          <w:p w:rsidR="00D27D59" w:rsidRPr="00FB36FA" w:rsidRDefault="00D27D59" w:rsidP="00D27D5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1,117.4</w:t>
            </w:r>
          </w:p>
        </w:tc>
      </w:tr>
      <w:tr w:rsidR="00D27D59" w:rsidRPr="00165FD2" w:rsidTr="00866E5C">
        <w:trPr>
          <w:trHeight w:val="295"/>
          <w:jc w:val="center"/>
        </w:trPr>
        <w:tc>
          <w:tcPr>
            <w:tcW w:w="2470" w:type="dxa"/>
            <w:vAlign w:val="center"/>
          </w:tcPr>
          <w:p w:rsidR="00D27D59" w:rsidRPr="00FB36FA" w:rsidRDefault="00D27D59">
            <w:pPr>
              <w:rPr>
                <w:rFonts w:ascii="Arial" w:hAnsi="Arial" w:cs="Arial"/>
                <w:color w:val="000000" w:themeColor="text1"/>
                <w:sz w:val="18"/>
                <w:szCs w:val="18"/>
              </w:rPr>
            </w:pPr>
            <w:r w:rsidRPr="00FB36FA">
              <w:rPr>
                <w:rFonts w:ascii="Arial" w:hAnsi="Arial" w:cs="Arial"/>
                <w:color w:val="000000" w:themeColor="text1"/>
                <w:sz w:val="18"/>
                <w:szCs w:val="18"/>
                <w:rtl/>
              </w:rPr>
              <w:t>التحويلات الجارية المقبوضة</w:t>
            </w:r>
          </w:p>
        </w:tc>
        <w:tc>
          <w:tcPr>
            <w:tcW w:w="992"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895.3</w:t>
            </w:r>
          </w:p>
        </w:tc>
        <w:tc>
          <w:tcPr>
            <w:tcW w:w="851"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1,299.4</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1,623.0</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2,505.5</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3,57</w:t>
            </w:r>
            <w:r w:rsidRPr="00FB36FA">
              <w:rPr>
                <w:rFonts w:ascii="Arial" w:hAnsi="Arial" w:cs="Arial"/>
                <w:color w:val="000000" w:themeColor="text1"/>
                <w:sz w:val="18"/>
                <w:szCs w:val="18"/>
                <w:rtl/>
              </w:rPr>
              <w:t>2</w:t>
            </w:r>
            <w:r w:rsidRPr="00FB36FA">
              <w:rPr>
                <w:rFonts w:ascii="Arial" w:hAnsi="Arial" w:cs="Arial"/>
                <w:color w:val="000000" w:themeColor="text1"/>
                <w:sz w:val="18"/>
                <w:szCs w:val="18"/>
              </w:rPr>
              <w:t>.</w:t>
            </w:r>
            <w:r w:rsidRPr="00FB36FA">
              <w:rPr>
                <w:rFonts w:ascii="Arial" w:hAnsi="Arial" w:cs="Arial"/>
                <w:color w:val="000000" w:themeColor="text1"/>
                <w:sz w:val="18"/>
                <w:szCs w:val="18"/>
                <w:rtl/>
              </w:rPr>
              <w:t>8</w:t>
            </w:r>
          </w:p>
        </w:tc>
        <w:tc>
          <w:tcPr>
            <w:tcW w:w="837" w:type="dxa"/>
            <w:vAlign w:val="center"/>
          </w:tcPr>
          <w:p w:rsidR="00D27D59" w:rsidRPr="00FB36FA" w:rsidRDefault="00D27D59" w:rsidP="001D60A3">
            <w:pPr>
              <w:jc w:val="center"/>
              <w:rPr>
                <w:rFonts w:ascii="Arial" w:hAnsi="Arial" w:cs="Arial"/>
                <w:color w:val="000000" w:themeColor="text1"/>
                <w:sz w:val="18"/>
                <w:szCs w:val="18"/>
              </w:rPr>
            </w:pPr>
            <w:r w:rsidRPr="00FB36FA">
              <w:rPr>
                <w:rFonts w:ascii="Arial" w:hAnsi="Arial" w:cs="Arial"/>
                <w:color w:val="000000" w:themeColor="text1"/>
                <w:sz w:val="18"/>
                <w:szCs w:val="18"/>
                <w:rtl/>
              </w:rPr>
              <w:t>2,502.0</w:t>
            </w:r>
          </w:p>
        </w:tc>
        <w:tc>
          <w:tcPr>
            <w:tcW w:w="837" w:type="dxa"/>
            <w:vAlign w:val="center"/>
          </w:tcPr>
          <w:p w:rsidR="00D27D59" w:rsidRPr="00FB36FA" w:rsidRDefault="00D27D59" w:rsidP="001D60A3">
            <w:pPr>
              <w:jc w:val="center"/>
              <w:rPr>
                <w:rFonts w:ascii="Arial" w:hAnsi="Arial" w:cs="Arial"/>
                <w:color w:val="000000" w:themeColor="text1"/>
                <w:sz w:val="18"/>
                <w:szCs w:val="18"/>
                <w:rtl/>
              </w:rPr>
            </w:pPr>
            <w:r w:rsidRPr="00FB36FA">
              <w:rPr>
                <w:rFonts w:ascii="Arial" w:hAnsi="Arial" w:cs="Arial"/>
                <w:color w:val="000000" w:themeColor="text1"/>
                <w:sz w:val="18"/>
                <w:szCs w:val="18"/>
                <w:rtl/>
              </w:rPr>
              <w:t>2,476.5</w:t>
            </w:r>
          </w:p>
        </w:tc>
        <w:tc>
          <w:tcPr>
            <w:tcW w:w="837" w:type="dxa"/>
            <w:vAlign w:val="center"/>
          </w:tcPr>
          <w:p w:rsidR="00D27D59" w:rsidRPr="00FB36FA" w:rsidRDefault="00D27D59" w:rsidP="00D27D5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1,552.5</w:t>
            </w:r>
          </w:p>
        </w:tc>
      </w:tr>
      <w:tr w:rsidR="00D27D59" w:rsidRPr="00165FD2" w:rsidTr="00866E5C">
        <w:trPr>
          <w:trHeight w:val="310"/>
          <w:jc w:val="center"/>
        </w:trPr>
        <w:tc>
          <w:tcPr>
            <w:tcW w:w="2470" w:type="dxa"/>
          </w:tcPr>
          <w:p w:rsidR="00D27D59" w:rsidRPr="00FB36FA" w:rsidRDefault="00D27D59">
            <w:pPr>
              <w:rPr>
                <w:rFonts w:ascii="Arial" w:hAnsi="Arial" w:cs="Arial"/>
                <w:color w:val="000000" w:themeColor="text1"/>
                <w:sz w:val="18"/>
                <w:szCs w:val="18"/>
              </w:rPr>
            </w:pPr>
            <w:r w:rsidRPr="00FB36FA">
              <w:rPr>
                <w:rFonts w:ascii="Arial" w:hAnsi="Arial" w:cs="Arial"/>
                <w:color w:val="000000" w:themeColor="text1"/>
                <w:sz w:val="18"/>
                <w:szCs w:val="18"/>
                <w:rtl/>
              </w:rPr>
              <w:t>الصادرات من السلع والخدمات</w:t>
            </w:r>
          </w:p>
        </w:tc>
        <w:tc>
          <w:tcPr>
            <w:tcW w:w="992"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641.1</w:t>
            </w:r>
          </w:p>
        </w:tc>
        <w:tc>
          <w:tcPr>
            <w:tcW w:w="851"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717.1</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710.3</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1,016.0</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1,16</w:t>
            </w:r>
            <w:r w:rsidRPr="00FB36FA">
              <w:rPr>
                <w:rFonts w:ascii="Arial" w:hAnsi="Arial" w:cs="Arial"/>
                <w:color w:val="000000" w:themeColor="text1"/>
                <w:sz w:val="18"/>
                <w:szCs w:val="18"/>
                <w:rtl/>
              </w:rPr>
              <w:t>4</w:t>
            </w:r>
            <w:r w:rsidRPr="00FB36FA">
              <w:rPr>
                <w:rFonts w:ascii="Arial" w:hAnsi="Arial" w:cs="Arial"/>
                <w:color w:val="000000" w:themeColor="text1"/>
                <w:sz w:val="18"/>
                <w:szCs w:val="18"/>
              </w:rPr>
              <w:t>.</w:t>
            </w:r>
            <w:r w:rsidRPr="00FB36FA">
              <w:rPr>
                <w:rFonts w:ascii="Arial" w:hAnsi="Arial" w:cs="Arial"/>
                <w:color w:val="000000" w:themeColor="text1"/>
                <w:sz w:val="18"/>
                <w:szCs w:val="18"/>
                <w:rtl/>
              </w:rPr>
              <w:t>5</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1,2</w:t>
            </w:r>
            <w:r w:rsidRPr="00FB36FA">
              <w:rPr>
                <w:rFonts w:ascii="Arial" w:hAnsi="Arial" w:cs="Arial"/>
                <w:color w:val="000000" w:themeColor="text1"/>
                <w:sz w:val="18"/>
                <w:szCs w:val="18"/>
                <w:rtl/>
              </w:rPr>
              <w:t>10</w:t>
            </w:r>
            <w:r w:rsidRPr="00FB36FA">
              <w:rPr>
                <w:rFonts w:ascii="Arial" w:hAnsi="Arial" w:cs="Arial"/>
                <w:color w:val="000000" w:themeColor="text1"/>
                <w:sz w:val="18"/>
                <w:szCs w:val="18"/>
              </w:rPr>
              <w:t>.</w:t>
            </w:r>
            <w:r w:rsidRPr="00FB36FA">
              <w:rPr>
                <w:rFonts w:ascii="Arial" w:hAnsi="Arial" w:cs="Arial"/>
                <w:color w:val="000000" w:themeColor="text1"/>
                <w:sz w:val="18"/>
                <w:szCs w:val="18"/>
                <w:rtl/>
              </w:rPr>
              <w:t>6</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tl/>
              </w:rPr>
              <w:t>1,496.8</w:t>
            </w:r>
          </w:p>
        </w:tc>
        <w:tc>
          <w:tcPr>
            <w:tcW w:w="837" w:type="dxa"/>
            <w:vAlign w:val="center"/>
          </w:tcPr>
          <w:p w:rsidR="00D27D59" w:rsidRPr="00FB36FA" w:rsidRDefault="00D27D59" w:rsidP="00D27D5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1,600.3</w:t>
            </w:r>
          </w:p>
        </w:tc>
      </w:tr>
      <w:tr w:rsidR="00D27D59" w:rsidRPr="00165FD2" w:rsidTr="00866E5C">
        <w:trPr>
          <w:trHeight w:val="310"/>
          <w:jc w:val="center"/>
        </w:trPr>
        <w:tc>
          <w:tcPr>
            <w:tcW w:w="2470" w:type="dxa"/>
          </w:tcPr>
          <w:p w:rsidR="00D27D59" w:rsidRPr="00FB36FA" w:rsidRDefault="00D27D59">
            <w:pPr>
              <w:rPr>
                <w:rFonts w:ascii="Arial" w:hAnsi="Arial" w:cs="Arial"/>
                <w:color w:val="000000" w:themeColor="text1"/>
                <w:sz w:val="18"/>
                <w:szCs w:val="18"/>
              </w:rPr>
            </w:pPr>
            <w:r w:rsidRPr="00FB36FA">
              <w:rPr>
                <w:rFonts w:ascii="Arial" w:hAnsi="Arial" w:cs="Arial"/>
                <w:color w:val="000000" w:themeColor="text1"/>
                <w:sz w:val="18"/>
                <w:szCs w:val="18"/>
                <w:rtl/>
              </w:rPr>
              <w:t>الواردات من السلع والخدمات</w:t>
            </w:r>
          </w:p>
        </w:tc>
        <w:tc>
          <w:tcPr>
            <w:tcW w:w="992"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3,337.8</w:t>
            </w:r>
          </w:p>
        </w:tc>
        <w:tc>
          <w:tcPr>
            <w:tcW w:w="851"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3,618.4</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3,805.7</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4,567.3</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4,739.2</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5,066.8</w:t>
            </w:r>
          </w:p>
        </w:tc>
        <w:tc>
          <w:tcPr>
            <w:tcW w:w="837" w:type="dxa"/>
            <w:vAlign w:val="center"/>
          </w:tcPr>
          <w:p w:rsidR="00D27D59" w:rsidRPr="00FB36FA" w:rsidRDefault="00D27D59" w:rsidP="001D60A3">
            <w:pPr>
              <w:bidi w:val="0"/>
              <w:jc w:val="center"/>
              <w:rPr>
                <w:rFonts w:ascii="Arial" w:hAnsi="Arial" w:cs="Arial"/>
                <w:color w:val="000000" w:themeColor="text1"/>
                <w:sz w:val="18"/>
                <w:szCs w:val="18"/>
              </w:rPr>
            </w:pPr>
            <w:r w:rsidRPr="00FB36FA">
              <w:rPr>
                <w:rFonts w:ascii="Arial" w:hAnsi="Arial" w:cs="Arial"/>
                <w:color w:val="000000" w:themeColor="text1"/>
                <w:sz w:val="18"/>
                <w:szCs w:val="18"/>
              </w:rPr>
              <w:t>5,461.7</w:t>
            </w:r>
          </w:p>
        </w:tc>
        <w:tc>
          <w:tcPr>
            <w:tcW w:w="837" w:type="dxa"/>
            <w:vAlign w:val="center"/>
          </w:tcPr>
          <w:p w:rsidR="00D27D59" w:rsidRPr="00FB36FA" w:rsidRDefault="00D27D59" w:rsidP="00D27D59">
            <w:pPr>
              <w:bidi w:val="0"/>
              <w:jc w:val="center"/>
              <w:rPr>
                <w:rFonts w:ascii="Arial" w:hAnsi="Arial" w:cs="Arial"/>
                <w:color w:val="000000" w:themeColor="text1"/>
                <w:sz w:val="18"/>
                <w:szCs w:val="18"/>
                <w:rtl/>
              </w:rPr>
            </w:pPr>
            <w:r w:rsidRPr="00FB36FA">
              <w:rPr>
                <w:rFonts w:ascii="Arial" w:hAnsi="Arial" w:cs="Arial"/>
                <w:color w:val="000000" w:themeColor="text1"/>
                <w:sz w:val="18"/>
                <w:szCs w:val="18"/>
              </w:rPr>
              <w:t>5,930.6</w:t>
            </w:r>
          </w:p>
        </w:tc>
      </w:tr>
    </w:tbl>
    <w:bookmarkEnd w:id="7"/>
    <w:p w:rsidR="00FF3804" w:rsidRPr="00FF3804" w:rsidRDefault="00866E5C" w:rsidP="00FF3804">
      <w:pPr>
        <w:pStyle w:val="Heading4"/>
        <w:keepNext w:val="0"/>
        <w:ind w:left="140"/>
        <w:jc w:val="both"/>
        <w:rPr>
          <w:b w:val="0"/>
          <w:bCs w:val="0"/>
          <w:color w:val="000000" w:themeColor="text1"/>
          <w:sz w:val="18"/>
          <w:szCs w:val="18"/>
          <w:rtl/>
        </w:rPr>
      </w:pPr>
      <w:r>
        <w:rPr>
          <w:rFonts w:hint="cs"/>
          <w:b w:val="0"/>
          <w:bCs w:val="0"/>
          <w:color w:val="000000" w:themeColor="text1"/>
          <w:sz w:val="18"/>
          <w:szCs w:val="18"/>
          <w:rtl/>
        </w:rPr>
        <w:t>*</w:t>
      </w:r>
      <w:r w:rsidRPr="00866E5C">
        <w:rPr>
          <w:rFonts w:hint="cs"/>
          <w:b w:val="0"/>
          <w:bCs w:val="0"/>
          <w:color w:val="000000" w:themeColor="text1"/>
          <w:sz w:val="18"/>
          <w:szCs w:val="18"/>
          <w:rtl/>
        </w:rPr>
        <w:t xml:space="preserve">بيانات تقديرية </w:t>
      </w:r>
      <w:proofErr w:type="spellStart"/>
      <w:r w:rsidRPr="00866E5C">
        <w:rPr>
          <w:rFonts w:hint="cs"/>
          <w:b w:val="0"/>
          <w:bCs w:val="0"/>
          <w:color w:val="000000" w:themeColor="text1"/>
          <w:sz w:val="18"/>
          <w:szCs w:val="18"/>
          <w:rtl/>
        </w:rPr>
        <w:t>ربعية</w:t>
      </w:r>
      <w:proofErr w:type="spellEnd"/>
    </w:p>
    <w:p w:rsidR="00F63205" w:rsidRPr="00165FD2" w:rsidRDefault="00A92615" w:rsidP="002F5404">
      <w:pPr>
        <w:pStyle w:val="Heading4"/>
        <w:keepNext w:val="0"/>
        <w:spacing w:before="240"/>
        <w:jc w:val="both"/>
        <w:rPr>
          <w:color w:val="000000" w:themeColor="text1"/>
          <w:rtl/>
        </w:rPr>
      </w:pPr>
      <w:r>
        <w:rPr>
          <w:rFonts w:hint="cs"/>
          <w:color w:val="000000" w:themeColor="text1"/>
          <w:rtl/>
        </w:rPr>
        <w:t xml:space="preserve">ارتفعت </w:t>
      </w:r>
      <w:r w:rsidR="00B45AC2" w:rsidRPr="00165FD2">
        <w:rPr>
          <w:rFonts w:hint="cs"/>
          <w:color w:val="000000" w:themeColor="text1"/>
          <w:rtl/>
        </w:rPr>
        <w:t>تعويضات العاملين</w:t>
      </w:r>
      <w:r w:rsidR="005A7EB5">
        <w:rPr>
          <w:rFonts w:hint="cs"/>
          <w:color w:val="000000" w:themeColor="text1"/>
          <w:rtl/>
        </w:rPr>
        <w:t xml:space="preserve"> </w:t>
      </w:r>
      <w:r w:rsidR="001C085A" w:rsidRPr="00165FD2">
        <w:rPr>
          <w:rFonts w:hint="cs"/>
          <w:color w:val="000000" w:themeColor="text1"/>
          <w:rtl/>
        </w:rPr>
        <w:t>من الخارج</w:t>
      </w:r>
      <w:r w:rsidR="005A7EB5">
        <w:rPr>
          <w:rFonts w:hint="cs"/>
          <w:color w:val="000000" w:themeColor="text1"/>
          <w:rtl/>
        </w:rPr>
        <w:t xml:space="preserve"> </w:t>
      </w:r>
      <w:r w:rsidR="00C72CDE">
        <w:rPr>
          <w:rFonts w:hint="cs"/>
          <w:color w:val="000000" w:themeColor="text1"/>
          <w:rtl/>
        </w:rPr>
        <w:t xml:space="preserve">خلال عام 2011 </w:t>
      </w:r>
      <w:r w:rsidRPr="00165FD2">
        <w:rPr>
          <w:rFonts w:hint="cs"/>
          <w:color w:val="000000" w:themeColor="text1"/>
          <w:rtl/>
        </w:rPr>
        <w:t>بنسبة 3.7% لتصل إلى</w:t>
      </w:r>
      <w:r w:rsidR="00B65135">
        <w:rPr>
          <w:rFonts w:hint="cs"/>
          <w:color w:val="000000" w:themeColor="text1"/>
          <w:rtl/>
        </w:rPr>
        <w:t xml:space="preserve"> </w:t>
      </w:r>
      <w:r w:rsidRPr="00165FD2">
        <w:rPr>
          <w:color w:val="000000" w:themeColor="text1"/>
          <w:lang w:eastAsia="en-US"/>
        </w:rPr>
        <w:t>1,117.4</w:t>
      </w:r>
      <w:r w:rsidRPr="00165FD2">
        <w:rPr>
          <w:rFonts w:hint="cs"/>
          <w:color w:val="000000" w:themeColor="text1"/>
          <w:rtl/>
        </w:rPr>
        <w:t xml:space="preserve"> مليون دولار</w:t>
      </w:r>
      <w:r>
        <w:rPr>
          <w:rFonts w:hint="cs"/>
          <w:color w:val="000000" w:themeColor="text1"/>
          <w:rtl/>
        </w:rPr>
        <w:t xml:space="preserve"> </w:t>
      </w:r>
      <w:r w:rsidR="001C085A">
        <w:rPr>
          <w:rFonts w:hint="cs"/>
          <w:color w:val="000000" w:themeColor="text1"/>
          <w:rtl/>
        </w:rPr>
        <w:t xml:space="preserve">مقارنة مع </w:t>
      </w:r>
      <w:r w:rsidR="00FC49FF">
        <w:rPr>
          <w:rFonts w:hint="cs"/>
          <w:color w:val="000000" w:themeColor="text1"/>
          <w:rtl/>
        </w:rPr>
        <w:t xml:space="preserve"> </w:t>
      </w:r>
      <w:r w:rsidR="001C085A">
        <w:rPr>
          <w:rFonts w:hint="cs"/>
          <w:color w:val="000000" w:themeColor="text1"/>
          <w:rtl/>
        </w:rPr>
        <w:t>1</w:t>
      </w:r>
      <w:r w:rsidR="00FC49FF">
        <w:rPr>
          <w:rFonts w:hint="cs"/>
          <w:color w:val="000000" w:themeColor="text1"/>
          <w:rtl/>
        </w:rPr>
        <w:t>,</w:t>
      </w:r>
      <w:r w:rsidR="001C085A">
        <w:rPr>
          <w:rFonts w:hint="cs"/>
          <w:color w:val="000000" w:themeColor="text1"/>
          <w:rtl/>
        </w:rPr>
        <w:t xml:space="preserve">077.4 </w:t>
      </w:r>
      <w:r w:rsidR="00FC49FF">
        <w:rPr>
          <w:rFonts w:hint="cs"/>
          <w:color w:val="000000" w:themeColor="text1"/>
          <w:rtl/>
        </w:rPr>
        <w:t xml:space="preserve">مليون دولار </w:t>
      </w:r>
      <w:r w:rsidR="001C085A">
        <w:rPr>
          <w:rFonts w:hint="cs"/>
          <w:color w:val="000000" w:themeColor="text1"/>
          <w:rtl/>
        </w:rPr>
        <w:t>عام 2010</w:t>
      </w:r>
      <w:r>
        <w:rPr>
          <w:rFonts w:hint="cs"/>
          <w:color w:val="000000" w:themeColor="text1"/>
          <w:rtl/>
        </w:rPr>
        <w:t>.</w:t>
      </w:r>
      <w:r w:rsidR="00D043B0">
        <w:rPr>
          <w:rFonts w:hint="cs"/>
          <w:color w:val="000000" w:themeColor="text1"/>
          <w:rtl/>
        </w:rPr>
        <w:t xml:space="preserve"> </w:t>
      </w:r>
      <w:r w:rsidR="00C72CDE">
        <w:rPr>
          <w:rFonts w:hint="cs"/>
          <w:b w:val="0"/>
          <w:bCs w:val="0"/>
          <w:color w:val="000000" w:themeColor="text1"/>
          <w:rtl/>
        </w:rPr>
        <w:t xml:space="preserve">ويلاحظ من الشكل </w:t>
      </w:r>
      <w:r w:rsidR="002F5404">
        <w:rPr>
          <w:rFonts w:hint="cs"/>
          <w:b w:val="0"/>
          <w:bCs w:val="0"/>
          <w:color w:val="000000" w:themeColor="text1"/>
          <w:rtl/>
        </w:rPr>
        <w:t xml:space="preserve">13 </w:t>
      </w:r>
      <w:r w:rsidR="00C72CDE">
        <w:rPr>
          <w:rFonts w:hint="cs"/>
          <w:b w:val="0"/>
          <w:bCs w:val="0"/>
          <w:color w:val="000000" w:themeColor="text1"/>
          <w:rtl/>
        </w:rPr>
        <w:t xml:space="preserve">أن مستوى تعويضات العاملين </w:t>
      </w:r>
      <w:proofErr w:type="spellStart"/>
      <w:r w:rsidR="00C72CDE">
        <w:rPr>
          <w:rFonts w:hint="cs"/>
          <w:b w:val="0"/>
          <w:bCs w:val="0"/>
          <w:color w:val="000000" w:themeColor="text1"/>
          <w:rtl/>
        </w:rPr>
        <w:t>المقبوضه</w:t>
      </w:r>
      <w:proofErr w:type="spellEnd"/>
      <w:r w:rsidR="00C72CDE">
        <w:rPr>
          <w:rFonts w:hint="cs"/>
          <w:b w:val="0"/>
          <w:bCs w:val="0"/>
          <w:color w:val="000000" w:themeColor="text1"/>
          <w:rtl/>
        </w:rPr>
        <w:t xml:space="preserve"> من الخارج في تزايد مستمر</w:t>
      </w:r>
      <w:r w:rsidR="001C085A">
        <w:rPr>
          <w:rFonts w:hint="cs"/>
          <w:b w:val="0"/>
          <w:bCs w:val="0"/>
          <w:color w:val="000000" w:themeColor="text1"/>
          <w:rtl/>
        </w:rPr>
        <w:t xml:space="preserve">، فقد ارتفعت </w:t>
      </w:r>
      <w:r w:rsidR="00FC49FF">
        <w:rPr>
          <w:rFonts w:hint="cs"/>
          <w:b w:val="0"/>
          <w:bCs w:val="0"/>
          <w:color w:val="000000" w:themeColor="text1"/>
          <w:rtl/>
        </w:rPr>
        <w:t>منذ عام 2004 حتى2011</w:t>
      </w:r>
      <w:r w:rsidR="00C72CDE">
        <w:rPr>
          <w:rFonts w:hint="cs"/>
          <w:b w:val="0"/>
          <w:bCs w:val="0"/>
          <w:color w:val="000000" w:themeColor="text1"/>
          <w:rtl/>
        </w:rPr>
        <w:t xml:space="preserve"> بنسبة 165.2%</w:t>
      </w:r>
      <w:r w:rsidR="001C085A">
        <w:rPr>
          <w:rFonts w:hint="cs"/>
          <w:b w:val="0"/>
          <w:bCs w:val="0"/>
          <w:color w:val="000000" w:themeColor="text1"/>
          <w:rtl/>
        </w:rPr>
        <w:t>.</w:t>
      </w:r>
      <w:r w:rsidR="00C72CDE">
        <w:rPr>
          <w:rFonts w:hint="cs"/>
          <w:b w:val="0"/>
          <w:bCs w:val="0"/>
          <w:color w:val="000000" w:themeColor="text1"/>
          <w:rtl/>
        </w:rPr>
        <w:t xml:space="preserve"> </w:t>
      </w:r>
      <w:r w:rsidR="00B65135" w:rsidRPr="00D043B0">
        <w:rPr>
          <w:rFonts w:hint="cs"/>
          <w:b w:val="0"/>
          <w:bCs w:val="0"/>
          <w:color w:val="000000" w:themeColor="text1"/>
          <w:rtl/>
        </w:rPr>
        <w:t xml:space="preserve">وتشكل تعويضات العاملين ما نسبته </w:t>
      </w:r>
      <w:proofErr w:type="spellStart"/>
      <w:r w:rsidR="00B65135" w:rsidRPr="00D043B0">
        <w:rPr>
          <w:rFonts w:hint="cs"/>
          <w:b w:val="0"/>
          <w:bCs w:val="0"/>
          <w:color w:val="000000" w:themeColor="text1"/>
          <w:rtl/>
        </w:rPr>
        <w:t>92.5%</w:t>
      </w:r>
      <w:proofErr w:type="spellEnd"/>
      <w:r w:rsidR="00B65135" w:rsidRPr="00D043B0">
        <w:rPr>
          <w:rFonts w:hint="cs"/>
          <w:b w:val="0"/>
          <w:bCs w:val="0"/>
          <w:color w:val="000000" w:themeColor="text1"/>
          <w:rtl/>
        </w:rPr>
        <w:t xml:space="preserve"> من إجمالي </w:t>
      </w:r>
      <w:proofErr w:type="spellStart"/>
      <w:r w:rsidR="00B65135" w:rsidRPr="00D043B0">
        <w:rPr>
          <w:rFonts w:hint="cs"/>
          <w:b w:val="0"/>
          <w:bCs w:val="0"/>
          <w:color w:val="000000" w:themeColor="text1"/>
          <w:rtl/>
        </w:rPr>
        <w:t>مقبوضات</w:t>
      </w:r>
      <w:proofErr w:type="spellEnd"/>
      <w:r w:rsidR="00B65135" w:rsidRPr="00D043B0">
        <w:rPr>
          <w:rFonts w:hint="cs"/>
          <w:b w:val="0"/>
          <w:bCs w:val="0"/>
          <w:color w:val="000000" w:themeColor="text1"/>
          <w:rtl/>
        </w:rPr>
        <w:t xml:space="preserve"> حساب</w:t>
      </w:r>
      <w:r w:rsidR="00B65135" w:rsidRPr="00B65135">
        <w:rPr>
          <w:rFonts w:hint="cs"/>
          <w:b w:val="0"/>
          <w:bCs w:val="0"/>
          <w:color w:val="000000" w:themeColor="text1"/>
          <w:rtl/>
        </w:rPr>
        <w:t xml:space="preserve"> </w:t>
      </w:r>
      <w:proofErr w:type="spellStart"/>
      <w:r w:rsidR="00B65135" w:rsidRPr="00B65135">
        <w:rPr>
          <w:rFonts w:hint="cs"/>
          <w:b w:val="0"/>
          <w:bCs w:val="0"/>
          <w:color w:val="000000" w:themeColor="text1"/>
          <w:rtl/>
        </w:rPr>
        <w:t>الدخل</w:t>
      </w:r>
      <w:r w:rsidR="001C085A">
        <w:rPr>
          <w:rFonts w:hint="cs"/>
          <w:b w:val="0"/>
          <w:bCs w:val="0"/>
          <w:color w:val="000000" w:themeColor="text1"/>
          <w:rtl/>
        </w:rPr>
        <w:t>،</w:t>
      </w:r>
      <w:proofErr w:type="spellEnd"/>
      <w:r w:rsidR="001C085A">
        <w:rPr>
          <w:rFonts w:hint="cs"/>
          <w:b w:val="0"/>
          <w:bCs w:val="0"/>
          <w:color w:val="000000" w:themeColor="text1"/>
          <w:rtl/>
        </w:rPr>
        <w:t xml:space="preserve"> بينما يمثل دخل الاستثمار النسبة الباقية. وبالرغم من </w:t>
      </w:r>
      <w:r w:rsidR="00B65135">
        <w:rPr>
          <w:rFonts w:hint="cs"/>
          <w:b w:val="0"/>
          <w:bCs w:val="0"/>
          <w:color w:val="000000" w:themeColor="text1"/>
          <w:rtl/>
        </w:rPr>
        <w:t xml:space="preserve">الزيادة في </w:t>
      </w:r>
      <w:r>
        <w:rPr>
          <w:rFonts w:hint="cs"/>
          <w:b w:val="0"/>
          <w:bCs w:val="0"/>
          <w:color w:val="000000" w:themeColor="text1"/>
          <w:rtl/>
        </w:rPr>
        <w:t xml:space="preserve">صافي </w:t>
      </w:r>
      <w:r w:rsidR="00B65135">
        <w:rPr>
          <w:rFonts w:hint="cs"/>
          <w:b w:val="0"/>
          <w:bCs w:val="0"/>
          <w:color w:val="000000" w:themeColor="text1"/>
          <w:rtl/>
        </w:rPr>
        <w:t xml:space="preserve">الدخل </w:t>
      </w:r>
      <w:r w:rsidR="001C085A">
        <w:rPr>
          <w:rFonts w:hint="cs"/>
          <w:b w:val="0"/>
          <w:bCs w:val="0"/>
          <w:color w:val="000000" w:themeColor="text1"/>
          <w:rtl/>
        </w:rPr>
        <w:t xml:space="preserve">فإن ذلك لم </w:t>
      </w:r>
      <w:r w:rsidR="00B65135">
        <w:rPr>
          <w:rFonts w:hint="cs"/>
          <w:b w:val="0"/>
          <w:bCs w:val="0"/>
          <w:color w:val="000000" w:themeColor="text1"/>
          <w:rtl/>
        </w:rPr>
        <w:t xml:space="preserve">يؤثر على خفض العجز في الحساب الجاري </w:t>
      </w:r>
      <w:r w:rsidR="00D043B0">
        <w:rPr>
          <w:rFonts w:hint="cs"/>
          <w:b w:val="0"/>
          <w:bCs w:val="0"/>
          <w:color w:val="000000" w:themeColor="text1"/>
          <w:rtl/>
        </w:rPr>
        <w:t>وذلك بسبب قيمة العجز المتزايد</w:t>
      </w:r>
      <w:r w:rsidR="001C085A">
        <w:rPr>
          <w:rFonts w:hint="cs"/>
          <w:b w:val="0"/>
          <w:bCs w:val="0"/>
          <w:color w:val="000000" w:themeColor="text1"/>
          <w:rtl/>
        </w:rPr>
        <w:t>ة</w:t>
      </w:r>
      <w:r w:rsidR="00D043B0">
        <w:rPr>
          <w:rFonts w:hint="cs"/>
          <w:b w:val="0"/>
          <w:bCs w:val="0"/>
          <w:color w:val="000000" w:themeColor="text1"/>
          <w:rtl/>
        </w:rPr>
        <w:t xml:space="preserve"> في الميزان التجاري</w:t>
      </w:r>
      <w:r w:rsidR="00D043B0">
        <w:rPr>
          <w:rFonts w:hint="cs"/>
          <w:color w:val="000000" w:themeColor="text1"/>
          <w:rtl/>
        </w:rPr>
        <w:t xml:space="preserve"> </w:t>
      </w:r>
      <w:r w:rsidR="00D043B0" w:rsidRPr="00D043B0">
        <w:rPr>
          <w:rFonts w:hint="cs"/>
          <w:b w:val="0"/>
          <w:bCs w:val="0"/>
          <w:color w:val="000000" w:themeColor="text1"/>
          <w:rtl/>
        </w:rPr>
        <w:t>للسلع والخدمات</w:t>
      </w:r>
      <w:r w:rsidR="00D043B0">
        <w:rPr>
          <w:rFonts w:hint="cs"/>
          <w:b w:val="0"/>
          <w:bCs w:val="0"/>
          <w:color w:val="000000" w:themeColor="text1"/>
          <w:rtl/>
        </w:rPr>
        <w:t xml:space="preserve">. </w:t>
      </w:r>
    </w:p>
    <w:p w:rsidR="00B65135" w:rsidRDefault="00B65135" w:rsidP="00D017B9">
      <w:pPr>
        <w:jc w:val="center"/>
        <w:rPr>
          <w:rFonts w:cs="Simplified Arabic"/>
          <w:color w:val="000000" w:themeColor="text1"/>
          <w:rtl/>
        </w:rPr>
      </w:pPr>
    </w:p>
    <w:p w:rsidR="00F63205" w:rsidRPr="00165FD2" w:rsidRDefault="00B45AC2" w:rsidP="00F21D27">
      <w:pPr>
        <w:jc w:val="center"/>
        <w:rPr>
          <w:rFonts w:cs="Simplified Arabic"/>
          <w:b/>
          <w:bCs/>
          <w:color w:val="000000" w:themeColor="text1"/>
          <w:rtl/>
        </w:rPr>
      </w:pPr>
      <w:r w:rsidRPr="00165FD2">
        <w:rPr>
          <w:rFonts w:cs="Simplified Arabic" w:hint="cs"/>
          <w:b/>
          <w:bCs/>
          <w:color w:val="000000" w:themeColor="text1"/>
          <w:rtl/>
        </w:rPr>
        <w:t>شكل</w:t>
      </w:r>
      <w:r w:rsidR="00F21D27">
        <w:rPr>
          <w:rFonts w:cs="Simplified Arabic" w:hint="cs"/>
          <w:b/>
          <w:bCs/>
          <w:color w:val="000000" w:themeColor="text1"/>
          <w:rtl/>
        </w:rPr>
        <w:t xml:space="preserve"> 13</w:t>
      </w:r>
      <w:r w:rsidRPr="00165FD2">
        <w:rPr>
          <w:rFonts w:cs="Simplified Arabic" w:hint="cs"/>
          <w:b/>
          <w:bCs/>
          <w:color w:val="000000" w:themeColor="text1"/>
          <w:rtl/>
        </w:rPr>
        <w:t>: حركة تعويضات</w:t>
      </w:r>
      <w:r w:rsidR="001C4693">
        <w:rPr>
          <w:rFonts w:cs="Simplified Arabic" w:hint="cs"/>
          <w:b/>
          <w:bCs/>
          <w:color w:val="000000" w:themeColor="text1"/>
          <w:rtl/>
        </w:rPr>
        <w:t xml:space="preserve"> العاملين في الأراضي الفلسطينية</w:t>
      </w:r>
      <w:r w:rsidRPr="00165FD2">
        <w:rPr>
          <w:rFonts w:cs="Simplified Arabic" w:hint="cs"/>
          <w:b/>
          <w:bCs/>
          <w:color w:val="000000" w:themeColor="text1"/>
          <w:rtl/>
        </w:rPr>
        <w:t>، (2004-</w:t>
      </w:r>
      <w:r w:rsidR="00D017B9" w:rsidRPr="00165FD2">
        <w:rPr>
          <w:rFonts w:cs="Simplified Arabic" w:hint="cs"/>
          <w:b/>
          <w:bCs/>
          <w:color w:val="000000" w:themeColor="text1"/>
          <w:rtl/>
        </w:rPr>
        <w:t>2011</w:t>
      </w:r>
      <w:r w:rsidRPr="00165FD2">
        <w:rPr>
          <w:rFonts w:cs="Simplified Arabic" w:hint="cs"/>
          <w:b/>
          <w:bCs/>
          <w:color w:val="000000" w:themeColor="text1"/>
          <w:rtl/>
        </w:rPr>
        <w:t>)</w:t>
      </w:r>
    </w:p>
    <w:p w:rsidR="00F63205" w:rsidRDefault="00265E1A" w:rsidP="004B2DC7">
      <w:pPr>
        <w:pStyle w:val="Heading4"/>
        <w:spacing w:after="120"/>
        <w:jc w:val="center"/>
        <w:rPr>
          <w:color w:val="000000" w:themeColor="text1"/>
          <w:rtl/>
        </w:rPr>
      </w:pPr>
      <w:r w:rsidRPr="00165FD2">
        <w:rPr>
          <w:noProof/>
          <w:color w:val="000000" w:themeColor="text1"/>
          <w:lang w:eastAsia="en-US"/>
        </w:rPr>
        <w:drawing>
          <wp:inline distT="0" distB="0" distL="0" distR="0">
            <wp:extent cx="4629150" cy="2838450"/>
            <wp:effectExtent l="19050" t="0" r="19050"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A045C" w:rsidRPr="00BA045C" w:rsidRDefault="00BA045C" w:rsidP="00BA045C"/>
    <w:p w:rsidR="005F0905" w:rsidRDefault="001C085A" w:rsidP="00ED202D">
      <w:pPr>
        <w:spacing w:before="240"/>
        <w:jc w:val="both"/>
        <w:rPr>
          <w:rFonts w:cs="Simplified Arabic"/>
          <w:color w:val="000000" w:themeColor="text1"/>
          <w:rtl/>
        </w:rPr>
      </w:pPr>
      <w:r>
        <w:rPr>
          <w:rFonts w:cs="Simplified Arabic" w:hint="cs"/>
          <w:b/>
          <w:bCs/>
          <w:color w:val="000000" w:themeColor="text1"/>
          <w:rtl/>
        </w:rPr>
        <w:t xml:space="preserve">أما </w:t>
      </w:r>
      <w:r w:rsidR="007D10C5" w:rsidRPr="00516991">
        <w:rPr>
          <w:rFonts w:cs="Simplified Arabic" w:hint="cs"/>
          <w:b/>
          <w:bCs/>
          <w:color w:val="000000" w:themeColor="text1"/>
          <w:rtl/>
        </w:rPr>
        <w:t>التحويلات الجارية</w:t>
      </w:r>
      <w:r>
        <w:rPr>
          <w:rFonts w:cs="Simplified Arabic" w:hint="cs"/>
          <w:b/>
          <w:bCs/>
          <w:color w:val="000000" w:themeColor="text1"/>
          <w:rtl/>
        </w:rPr>
        <w:t xml:space="preserve"> فقد </w:t>
      </w:r>
      <w:r w:rsidRPr="00516991">
        <w:rPr>
          <w:rFonts w:cs="Simplified Arabic" w:hint="cs"/>
          <w:b/>
          <w:bCs/>
          <w:color w:val="000000" w:themeColor="text1"/>
          <w:rtl/>
        </w:rPr>
        <w:t xml:space="preserve">انخفضت </w:t>
      </w:r>
      <w:r w:rsidR="007D10C5" w:rsidRPr="00516991">
        <w:rPr>
          <w:rFonts w:cs="Simplified Arabic" w:hint="cs"/>
          <w:b/>
          <w:bCs/>
          <w:color w:val="000000" w:themeColor="text1"/>
          <w:rtl/>
        </w:rPr>
        <w:t>خلال عام 2011 بنسبة 37.</w:t>
      </w:r>
      <w:r w:rsidR="00FC49FF">
        <w:rPr>
          <w:rFonts w:cs="Simplified Arabic" w:hint="cs"/>
          <w:b/>
          <w:bCs/>
          <w:color w:val="000000" w:themeColor="text1"/>
          <w:rtl/>
        </w:rPr>
        <w:t>3</w:t>
      </w:r>
      <w:r w:rsidR="007D10C5" w:rsidRPr="00516991">
        <w:rPr>
          <w:rFonts w:cs="Simplified Arabic" w:hint="cs"/>
          <w:b/>
          <w:bCs/>
          <w:color w:val="000000" w:themeColor="text1"/>
          <w:rtl/>
        </w:rPr>
        <w:t>%</w:t>
      </w:r>
      <w:r w:rsidR="00BC348A" w:rsidRPr="00516991">
        <w:rPr>
          <w:rFonts w:cs="Simplified Arabic" w:hint="cs"/>
          <w:b/>
          <w:bCs/>
          <w:color w:val="000000" w:themeColor="text1"/>
          <w:rtl/>
        </w:rPr>
        <w:t xml:space="preserve"> </w:t>
      </w:r>
      <w:r w:rsidR="00516991" w:rsidRPr="00516991">
        <w:rPr>
          <w:rFonts w:cs="Simplified Arabic" w:hint="cs"/>
          <w:b/>
          <w:bCs/>
          <w:color w:val="000000" w:themeColor="text1"/>
          <w:rtl/>
        </w:rPr>
        <w:t>لتصل إلى</w:t>
      </w:r>
      <w:r w:rsidR="00BC348A" w:rsidRPr="00516991">
        <w:rPr>
          <w:rFonts w:cs="Simplified Arabic" w:hint="cs"/>
          <w:b/>
          <w:bCs/>
          <w:color w:val="000000" w:themeColor="text1"/>
          <w:rtl/>
        </w:rPr>
        <w:t xml:space="preserve"> </w:t>
      </w:r>
      <w:r w:rsidR="00BC348A" w:rsidRPr="00516991">
        <w:rPr>
          <w:b/>
          <w:bCs/>
          <w:color w:val="000000" w:themeColor="text1"/>
        </w:rPr>
        <w:t>1,552.5</w:t>
      </w:r>
      <w:r w:rsidR="00BC348A" w:rsidRPr="00516991">
        <w:rPr>
          <w:rFonts w:cs="Simplified Arabic" w:hint="cs"/>
          <w:b/>
          <w:bCs/>
          <w:color w:val="000000" w:themeColor="text1"/>
          <w:rtl/>
        </w:rPr>
        <w:t xml:space="preserve"> مليون دولار </w:t>
      </w:r>
      <w:r w:rsidR="00516991" w:rsidRPr="00516991">
        <w:rPr>
          <w:rFonts w:cs="Simplified Arabic" w:hint="cs"/>
          <w:b/>
          <w:bCs/>
          <w:color w:val="000000" w:themeColor="text1"/>
          <w:rtl/>
        </w:rPr>
        <w:t xml:space="preserve">بعد أن كانت </w:t>
      </w:r>
      <w:r w:rsidR="00BC348A" w:rsidRPr="00516991">
        <w:rPr>
          <w:b/>
          <w:bCs/>
          <w:color w:val="000000" w:themeColor="text1"/>
          <w:rtl/>
          <w:lang w:eastAsia="en-US"/>
        </w:rPr>
        <w:t>2,47</w:t>
      </w:r>
      <w:r w:rsidR="00BC348A" w:rsidRPr="00516991">
        <w:rPr>
          <w:rFonts w:hint="cs"/>
          <w:b/>
          <w:bCs/>
          <w:color w:val="000000" w:themeColor="text1"/>
          <w:rtl/>
          <w:lang w:eastAsia="en-US"/>
        </w:rPr>
        <w:t xml:space="preserve">6.5 </w:t>
      </w:r>
      <w:r w:rsidR="00BC348A" w:rsidRPr="00516991">
        <w:rPr>
          <w:rFonts w:cs="Simplified Arabic" w:hint="cs"/>
          <w:b/>
          <w:bCs/>
          <w:color w:val="000000" w:themeColor="text1"/>
          <w:rtl/>
        </w:rPr>
        <w:t>مليون دولار عام 2010</w:t>
      </w:r>
      <w:r w:rsidR="00516991">
        <w:rPr>
          <w:rFonts w:cs="Simplified Arabic" w:hint="cs"/>
          <w:b/>
          <w:bCs/>
          <w:color w:val="000000" w:themeColor="text1"/>
          <w:rtl/>
        </w:rPr>
        <w:t xml:space="preserve">، </w:t>
      </w:r>
      <w:r w:rsidR="00516991" w:rsidRPr="00516991">
        <w:rPr>
          <w:rFonts w:cs="Simplified Arabic" w:hint="cs"/>
          <w:color w:val="000000" w:themeColor="text1"/>
          <w:rtl/>
        </w:rPr>
        <w:t>حيث</w:t>
      </w:r>
      <w:r w:rsidR="00516991">
        <w:rPr>
          <w:rFonts w:cs="Simplified Arabic" w:hint="cs"/>
          <w:b/>
          <w:bCs/>
          <w:color w:val="000000" w:themeColor="text1"/>
          <w:rtl/>
        </w:rPr>
        <w:t xml:space="preserve"> </w:t>
      </w:r>
      <w:r w:rsidR="00B45AC2" w:rsidRPr="00165FD2">
        <w:rPr>
          <w:rFonts w:cs="Simplified Arabic" w:hint="cs"/>
          <w:color w:val="000000" w:themeColor="text1"/>
          <w:rtl/>
        </w:rPr>
        <w:t xml:space="preserve">يعتمد الاقتصاد الفلسطيني بشكل أساسي على التحويلات الخارجية التي تتلقاها السلطة الوطنية الفلسطينية </w:t>
      </w:r>
      <w:r w:rsidR="009E0F86">
        <w:rPr>
          <w:rFonts w:cs="Simplified Arabic" w:hint="cs"/>
          <w:color w:val="000000" w:themeColor="text1"/>
          <w:rtl/>
        </w:rPr>
        <w:t>ل</w:t>
      </w:r>
      <w:r w:rsidR="00B45AC2" w:rsidRPr="00165FD2">
        <w:rPr>
          <w:rFonts w:cs="Simplified Arabic" w:hint="cs"/>
          <w:color w:val="000000" w:themeColor="text1"/>
          <w:rtl/>
        </w:rPr>
        <w:t xml:space="preserve">دعم الموازنة العامة </w:t>
      </w:r>
      <w:r w:rsidR="009E0F86">
        <w:rPr>
          <w:rFonts w:cs="Simplified Arabic" w:hint="cs"/>
          <w:color w:val="000000" w:themeColor="text1"/>
          <w:rtl/>
        </w:rPr>
        <w:t>وعلى</w:t>
      </w:r>
      <w:r w:rsidR="00B45AC2" w:rsidRPr="00165FD2">
        <w:rPr>
          <w:rFonts w:cs="Simplified Arabic" w:hint="cs"/>
          <w:color w:val="000000" w:themeColor="text1"/>
          <w:rtl/>
        </w:rPr>
        <w:t xml:space="preserve"> التحويلات الخارجية </w:t>
      </w:r>
      <w:r w:rsidR="009E0F86">
        <w:rPr>
          <w:rFonts w:cs="Simplified Arabic" w:hint="cs"/>
          <w:color w:val="000000" w:themeColor="text1"/>
          <w:rtl/>
        </w:rPr>
        <w:t>إلى القطاع الخاص</w:t>
      </w:r>
      <w:r w:rsidR="00B45AC2" w:rsidRPr="00165FD2">
        <w:rPr>
          <w:rFonts w:cs="Simplified Arabic" w:hint="cs"/>
          <w:color w:val="000000" w:themeColor="text1"/>
          <w:rtl/>
        </w:rPr>
        <w:t>.</w:t>
      </w:r>
      <w:r w:rsidR="009E0F86">
        <w:rPr>
          <w:rFonts w:cs="Simplified Arabic" w:hint="cs"/>
          <w:color w:val="000000" w:themeColor="text1"/>
          <w:rtl/>
        </w:rPr>
        <w:t xml:space="preserve"> وقد انخفضت التحوي</w:t>
      </w:r>
      <w:r w:rsidR="00ED202D">
        <w:rPr>
          <w:rFonts w:cs="Simplified Arabic" w:hint="cs"/>
          <w:color w:val="000000" w:themeColor="text1"/>
          <w:rtl/>
        </w:rPr>
        <w:t xml:space="preserve">لات الخارجية الى السلطة </w:t>
      </w:r>
      <w:proofErr w:type="spellStart"/>
      <w:r w:rsidR="00ED202D">
        <w:rPr>
          <w:rFonts w:cs="Simplified Arabic" w:hint="cs"/>
          <w:color w:val="000000" w:themeColor="text1"/>
          <w:rtl/>
        </w:rPr>
        <w:t>الوطنية</w:t>
      </w:r>
      <w:r w:rsidR="00BC1839">
        <w:rPr>
          <w:rFonts w:cs="Simplified Arabic" w:hint="cs"/>
          <w:color w:val="000000" w:themeColor="text1"/>
          <w:rtl/>
        </w:rPr>
        <w:t>،</w:t>
      </w:r>
      <w:proofErr w:type="spellEnd"/>
      <w:r w:rsidR="00BC1839">
        <w:rPr>
          <w:rFonts w:cs="Simplified Arabic" w:hint="cs"/>
          <w:color w:val="000000" w:themeColor="text1"/>
          <w:rtl/>
        </w:rPr>
        <w:t xml:space="preserve"> </w:t>
      </w:r>
      <w:r w:rsidR="00ED202D">
        <w:rPr>
          <w:rFonts w:cs="Simplified Arabic" w:hint="cs"/>
          <w:color w:val="000000" w:themeColor="text1"/>
          <w:rtl/>
        </w:rPr>
        <w:t>ك</w:t>
      </w:r>
      <w:r w:rsidR="00BC1839">
        <w:rPr>
          <w:rFonts w:cs="Simplified Arabic" w:hint="cs"/>
          <w:color w:val="000000" w:themeColor="text1"/>
          <w:rtl/>
        </w:rPr>
        <w:t>ما انخفضت التحويلات الجارية للقطاع الخاص من 1</w:t>
      </w:r>
      <w:r w:rsidR="00ED202D">
        <w:rPr>
          <w:rFonts w:cs="Simplified Arabic" w:hint="cs"/>
          <w:color w:val="000000" w:themeColor="text1"/>
          <w:rtl/>
        </w:rPr>
        <w:t>,</w:t>
      </w:r>
      <w:r w:rsidR="00BC1839">
        <w:rPr>
          <w:rFonts w:cs="Simplified Arabic" w:hint="cs"/>
          <w:color w:val="000000" w:themeColor="text1"/>
          <w:rtl/>
        </w:rPr>
        <w:t>262.3 مليون دولار عام 2010 إلى 825.1 مليو</w:t>
      </w:r>
      <w:r w:rsidR="00ED202D">
        <w:rPr>
          <w:rFonts w:cs="Simplified Arabic" w:hint="cs"/>
          <w:color w:val="000000" w:themeColor="text1"/>
          <w:rtl/>
        </w:rPr>
        <w:t>ن</w:t>
      </w:r>
      <w:r w:rsidR="00BC1839">
        <w:rPr>
          <w:rFonts w:cs="Simplified Arabic" w:hint="cs"/>
          <w:color w:val="000000" w:themeColor="text1"/>
          <w:rtl/>
        </w:rPr>
        <w:t xml:space="preserve"> دولار عام 2011، أي بانخفاض </w:t>
      </w:r>
      <w:r w:rsidR="00ED202D">
        <w:rPr>
          <w:rFonts w:cs="Simplified Arabic" w:hint="cs"/>
          <w:color w:val="000000" w:themeColor="text1"/>
          <w:rtl/>
        </w:rPr>
        <w:t>وصل إلى</w:t>
      </w:r>
      <w:r w:rsidR="00BC1839">
        <w:rPr>
          <w:rFonts w:cs="Simplified Arabic" w:hint="cs"/>
          <w:color w:val="000000" w:themeColor="text1"/>
          <w:rtl/>
        </w:rPr>
        <w:t xml:space="preserve"> </w:t>
      </w:r>
      <w:r w:rsidR="00ED202D">
        <w:rPr>
          <w:rFonts w:cs="Simplified Arabic" w:hint="cs"/>
          <w:color w:val="000000" w:themeColor="text1"/>
          <w:rtl/>
        </w:rPr>
        <w:t>34.6</w:t>
      </w:r>
      <w:r w:rsidR="00BC1839">
        <w:rPr>
          <w:rFonts w:cs="Simplified Arabic" w:hint="cs"/>
          <w:color w:val="000000" w:themeColor="text1"/>
          <w:rtl/>
        </w:rPr>
        <w:t xml:space="preserve">%. وقد أدى </w:t>
      </w:r>
      <w:r w:rsidR="00510977">
        <w:rPr>
          <w:rFonts w:cs="Simplified Arabic" w:hint="cs"/>
          <w:color w:val="000000" w:themeColor="text1"/>
          <w:rtl/>
        </w:rPr>
        <w:t>ال</w:t>
      </w:r>
      <w:r w:rsidR="00BC1839">
        <w:rPr>
          <w:rFonts w:cs="Simplified Arabic" w:hint="cs"/>
          <w:color w:val="000000" w:themeColor="text1"/>
          <w:rtl/>
        </w:rPr>
        <w:t>ا</w:t>
      </w:r>
      <w:r w:rsidR="00510977">
        <w:rPr>
          <w:rFonts w:cs="Simplified Arabic" w:hint="cs"/>
          <w:color w:val="000000" w:themeColor="text1"/>
          <w:rtl/>
        </w:rPr>
        <w:t xml:space="preserve">نخفاض </w:t>
      </w:r>
      <w:r w:rsidR="00BC1839">
        <w:rPr>
          <w:rFonts w:cs="Simplified Arabic" w:hint="cs"/>
          <w:color w:val="000000" w:themeColor="text1"/>
          <w:rtl/>
        </w:rPr>
        <w:t xml:space="preserve">الكبير </w:t>
      </w:r>
      <w:r w:rsidR="00510977">
        <w:rPr>
          <w:rFonts w:cs="Simplified Arabic" w:hint="cs"/>
          <w:color w:val="000000" w:themeColor="text1"/>
          <w:rtl/>
        </w:rPr>
        <w:t xml:space="preserve">في التحويلات الجارية </w:t>
      </w:r>
      <w:r w:rsidR="00322317">
        <w:rPr>
          <w:rFonts w:cs="Simplified Arabic" w:hint="cs"/>
          <w:color w:val="000000" w:themeColor="text1"/>
          <w:rtl/>
        </w:rPr>
        <w:t xml:space="preserve">من الدول المانحة </w:t>
      </w:r>
      <w:r w:rsidR="00BC1839">
        <w:rPr>
          <w:rFonts w:cs="Simplified Arabic" w:hint="cs"/>
          <w:color w:val="000000" w:themeColor="text1"/>
          <w:rtl/>
        </w:rPr>
        <w:t>إلى ارتفاع</w:t>
      </w:r>
      <w:r w:rsidR="00510977">
        <w:rPr>
          <w:rFonts w:cs="Simplified Arabic" w:hint="cs"/>
          <w:color w:val="000000" w:themeColor="text1"/>
          <w:rtl/>
        </w:rPr>
        <w:t xml:space="preserve"> مديونية السلطة الوطنية الفلسطينية</w:t>
      </w:r>
      <w:r w:rsidR="00C21762">
        <w:rPr>
          <w:rFonts w:cs="Simplified Arabic" w:hint="cs"/>
          <w:color w:val="000000" w:themeColor="text1"/>
          <w:rtl/>
        </w:rPr>
        <w:t>.</w:t>
      </w:r>
      <w:r w:rsidR="002E2532">
        <w:rPr>
          <w:rFonts w:cs="Simplified Arabic" w:hint="cs"/>
          <w:color w:val="000000" w:themeColor="text1"/>
          <w:rtl/>
        </w:rPr>
        <w:t xml:space="preserve"> </w:t>
      </w:r>
    </w:p>
    <w:p w:rsidR="00BA045C" w:rsidRDefault="002E56CE" w:rsidP="00ED202D">
      <w:pPr>
        <w:spacing w:before="240"/>
        <w:jc w:val="both"/>
        <w:rPr>
          <w:rFonts w:ascii="Arial" w:hAnsi="Arial" w:cs="Simplified Arabic"/>
          <w:color w:val="000000" w:themeColor="text1"/>
          <w:rtl/>
          <w:lang w:eastAsia="en-US"/>
        </w:rPr>
      </w:pPr>
      <w:r w:rsidRPr="005F0905">
        <w:rPr>
          <w:rFonts w:cs="Simplified Arabic" w:hint="cs"/>
          <w:b/>
          <w:bCs/>
          <w:color w:val="000000" w:themeColor="text1"/>
          <w:rtl/>
        </w:rPr>
        <w:lastRenderedPageBreak/>
        <w:t xml:space="preserve">من جهة أخرى انخفضت التحويلات الرأسمالية بنسبة </w:t>
      </w:r>
      <w:r w:rsidR="00BA045C" w:rsidRPr="005F0905">
        <w:rPr>
          <w:rFonts w:cs="Simplified Arabic" w:hint="cs"/>
          <w:b/>
          <w:bCs/>
          <w:color w:val="000000" w:themeColor="text1"/>
          <w:rtl/>
        </w:rPr>
        <w:t>49.7%</w:t>
      </w:r>
      <w:r w:rsidR="00BA045C" w:rsidRPr="005F0905">
        <w:rPr>
          <w:rFonts w:ascii="Arial" w:hAnsi="Arial" w:cs="Arial" w:hint="cs"/>
          <w:b/>
          <w:bCs/>
          <w:color w:val="000000" w:themeColor="text1"/>
          <w:sz w:val="18"/>
          <w:szCs w:val="18"/>
          <w:rtl/>
          <w:lang w:eastAsia="en-US"/>
        </w:rPr>
        <w:t xml:space="preserve"> </w:t>
      </w:r>
      <w:r w:rsidR="00BA045C" w:rsidRPr="005F0905">
        <w:rPr>
          <w:rFonts w:ascii="Arial" w:hAnsi="Arial" w:cs="Simplified Arabic" w:hint="cs"/>
          <w:b/>
          <w:bCs/>
          <w:color w:val="000000" w:themeColor="text1"/>
          <w:rtl/>
          <w:lang w:eastAsia="en-US"/>
        </w:rPr>
        <w:t>لتصل إلى</w:t>
      </w:r>
      <w:r w:rsidR="00BA045C" w:rsidRPr="005F0905">
        <w:rPr>
          <w:rFonts w:cs="Simplified Arabic" w:hint="cs"/>
          <w:b/>
          <w:bCs/>
          <w:color w:val="000000" w:themeColor="text1"/>
          <w:rtl/>
        </w:rPr>
        <w:t xml:space="preserve"> 425.9 مليون دولار خلال عام 2011 مقابل 846.1 مليون دولار عام</w:t>
      </w:r>
      <w:r w:rsidR="00BA045C" w:rsidRPr="005F0905">
        <w:rPr>
          <w:rFonts w:cs="Simplified Arabic" w:hint="cs"/>
          <w:color w:val="000000" w:themeColor="text1"/>
          <w:rtl/>
        </w:rPr>
        <w:t xml:space="preserve"> </w:t>
      </w:r>
      <w:r w:rsidR="00BA045C" w:rsidRPr="005F0905">
        <w:rPr>
          <w:rFonts w:cs="Simplified Arabic" w:hint="cs"/>
          <w:b/>
          <w:bCs/>
          <w:color w:val="000000" w:themeColor="text1"/>
          <w:rtl/>
        </w:rPr>
        <w:t>2010</w:t>
      </w:r>
      <w:r w:rsidR="00BA045C" w:rsidRPr="005F0905">
        <w:rPr>
          <w:rFonts w:cs="Simplified Arabic" w:hint="cs"/>
          <w:color w:val="000000" w:themeColor="text1"/>
          <w:rtl/>
        </w:rPr>
        <w:t>.</w:t>
      </w:r>
      <w:r w:rsidR="005F0905" w:rsidRPr="005F0905">
        <w:rPr>
          <w:rFonts w:ascii="Arial" w:hAnsi="Arial" w:cs="Arial" w:hint="cs"/>
          <w:color w:val="000000" w:themeColor="text1"/>
          <w:sz w:val="18"/>
          <w:szCs w:val="18"/>
          <w:rtl/>
          <w:lang w:eastAsia="en-US"/>
        </w:rPr>
        <w:t xml:space="preserve"> </w:t>
      </w:r>
      <w:r w:rsidR="00BC1839">
        <w:rPr>
          <w:rFonts w:ascii="Arial" w:hAnsi="Arial" w:cs="Simplified Arabic" w:hint="cs"/>
          <w:color w:val="000000" w:themeColor="text1"/>
          <w:rtl/>
          <w:lang w:eastAsia="en-US"/>
        </w:rPr>
        <w:t xml:space="preserve">فقد تذبذبت </w:t>
      </w:r>
      <w:r w:rsidR="005F0905" w:rsidRPr="005F0905">
        <w:rPr>
          <w:rFonts w:ascii="Arial" w:hAnsi="Arial" w:cs="Simplified Arabic" w:hint="cs"/>
          <w:color w:val="000000" w:themeColor="text1"/>
          <w:rtl/>
          <w:lang w:eastAsia="en-US"/>
        </w:rPr>
        <w:t>التحويلات الرأسمالية</w:t>
      </w:r>
      <w:r w:rsidR="005F0905">
        <w:rPr>
          <w:rFonts w:ascii="Arial" w:hAnsi="Arial" w:cs="Simplified Arabic" w:hint="cs"/>
          <w:color w:val="000000" w:themeColor="text1"/>
          <w:rtl/>
          <w:lang w:eastAsia="en-US"/>
        </w:rPr>
        <w:t xml:space="preserve"> خلال الفترة (</w:t>
      </w:r>
      <w:r w:rsidR="005F0905" w:rsidRPr="00ED202D">
        <w:rPr>
          <w:rFonts w:cs="Simplified Arabic" w:hint="cs"/>
          <w:color w:val="000000" w:themeColor="text1"/>
          <w:rtl/>
        </w:rPr>
        <w:t>2004</w:t>
      </w:r>
      <w:r w:rsidR="005F0905">
        <w:rPr>
          <w:rFonts w:ascii="Arial" w:hAnsi="Arial" w:cs="Simplified Arabic" w:hint="cs"/>
          <w:color w:val="000000" w:themeColor="text1"/>
          <w:rtl/>
          <w:lang w:eastAsia="en-US"/>
        </w:rPr>
        <w:t>-</w:t>
      </w:r>
      <w:r w:rsidR="005F0905" w:rsidRPr="00ED202D">
        <w:rPr>
          <w:rFonts w:cs="Simplified Arabic" w:hint="cs"/>
          <w:color w:val="000000" w:themeColor="text1"/>
          <w:rtl/>
        </w:rPr>
        <w:t>2011</w:t>
      </w:r>
      <w:r w:rsidR="005F0905">
        <w:rPr>
          <w:rFonts w:ascii="Arial" w:hAnsi="Arial" w:cs="Simplified Arabic" w:hint="cs"/>
          <w:color w:val="000000" w:themeColor="text1"/>
          <w:rtl/>
          <w:lang w:eastAsia="en-US"/>
        </w:rPr>
        <w:t xml:space="preserve">) </w:t>
      </w:r>
      <w:r w:rsidR="00936445">
        <w:rPr>
          <w:rFonts w:ascii="Arial" w:hAnsi="Arial" w:cs="Simplified Arabic" w:hint="cs"/>
          <w:color w:val="000000" w:themeColor="text1"/>
          <w:rtl/>
          <w:lang w:eastAsia="en-US"/>
        </w:rPr>
        <w:t>ل</w:t>
      </w:r>
      <w:r w:rsidR="00BC1839">
        <w:rPr>
          <w:rFonts w:ascii="Arial" w:hAnsi="Arial" w:cs="Simplified Arabic" w:hint="cs"/>
          <w:color w:val="000000" w:themeColor="text1"/>
          <w:rtl/>
          <w:lang w:eastAsia="en-US"/>
        </w:rPr>
        <w:t>ت</w:t>
      </w:r>
      <w:r w:rsidR="00936445">
        <w:rPr>
          <w:rFonts w:ascii="Arial" w:hAnsi="Arial" w:cs="Simplified Arabic" w:hint="cs"/>
          <w:color w:val="000000" w:themeColor="text1"/>
          <w:rtl/>
          <w:lang w:eastAsia="en-US"/>
        </w:rPr>
        <w:t xml:space="preserve">صل </w:t>
      </w:r>
      <w:r w:rsidR="00BC1839">
        <w:rPr>
          <w:rFonts w:ascii="Arial" w:hAnsi="Arial" w:cs="Simplified Arabic" w:hint="cs"/>
          <w:color w:val="000000" w:themeColor="text1"/>
          <w:rtl/>
          <w:lang w:eastAsia="en-US"/>
        </w:rPr>
        <w:t xml:space="preserve">إلى </w:t>
      </w:r>
      <w:r w:rsidR="00936445">
        <w:rPr>
          <w:rFonts w:ascii="Arial" w:hAnsi="Arial" w:cs="Simplified Arabic" w:hint="cs"/>
          <w:color w:val="000000" w:themeColor="text1"/>
          <w:rtl/>
          <w:lang w:eastAsia="en-US"/>
        </w:rPr>
        <w:t>أدن</w:t>
      </w:r>
      <w:r w:rsidR="00BC1839">
        <w:rPr>
          <w:rFonts w:ascii="Arial" w:hAnsi="Arial" w:cs="Simplified Arabic" w:hint="cs"/>
          <w:color w:val="000000" w:themeColor="text1"/>
          <w:rtl/>
          <w:lang w:eastAsia="en-US"/>
        </w:rPr>
        <w:t>ى مستوى لها</w:t>
      </w:r>
      <w:r w:rsidR="00936445">
        <w:rPr>
          <w:rFonts w:ascii="Arial" w:hAnsi="Arial" w:cs="Simplified Arabic" w:hint="cs"/>
          <w:color w:val="000000" w:themeColor="text1"/>
          <w:rtl/>
          <w:lang w:eastAsia="en-US"/>
        </w:rPr>
        <w:t xml:space="preserve"> خلال </w:t>
      </w:r>
      <w:r w:rsidR="00BC1839">
        <w:rPr>
          <w:rFonts w:ascii="Arial" w:hAnsi="Arial" w:cs="Simplified Arabic" w:hint="cs"/>
          <w:color w:val="000000" w:themeColor="text1"/>
          <w:rtl/>
          <w:lang w:eastAsia="en-US"/>
        </w:rPr>
        <w:t>ال</w:t>
      </w:r>
      <w:r w:rsidR="00936445">
        <w:rPr>
          <w:rFonts w:ascii="Arial" w:hAnsi="Arial" w:cs="Simplified Arabic" w:hint="cs"/>
          <w:color w:val="000000" w:themeColor="text1"/>
          <w:rtl/>
          <w:lang w:eastAsia="en-US"/>
        </w:rPr>
        <w:t>عا</w:t>
      </w:r>
      <w:r w:rsidR="00936445" w:rsidRPr="00ED202D">
        <w:rPr>
          <w:rFonts w:cs="Simplified Arabic" w:hint="cs"/>
          <w:color w:val="000000" w:themeColor="text1"/>
          <w:rtl/>
        </w:rPr>
        <w:t>م 2006</w:t>
      </w:r>
      <w:r w:rsidR="00BC1839">
        <w:rPr>
          <w:rFonts w:ascii="Arial" w:hAnsi="Arial" w:cs="Simplified Arabic" w:hint="cs"/>
          <w:color w:val="000000" w:themeColor="text1"/>
          <w:rtl/>
          <w:lang w:eastAsia="en-US"/>
        </w:rPr>
        <w:t xml:space="preserve"> نتيجة</w:t>
      </w:r>
      <w:r w:rsidR="00936445">
        <w:rPr>
          <w:rFonts w:ascii="Arial" w:hAnsi="Arial" w:cs="Simplified Arabic" w:hint="cs"/>
          <w:color w:val="000000" w:themeColor="text1"/>
          <w:rtl/>
          <w:lang w:eastAsia="en-US"/>
        </w:rPr>
        <w:t xml:space="preserve"> </w:t>
      </w:r>
      <w:r w:rsidR="00BC1839">
        <w:rPr>
          <w:rFonts w:ascii="Arial" w:hAnsi="Arial" w:cs="Simplified Arabic" w:hint="cs"/>
          <w:color w:val="000000" w:themeColor="text1"/>
          <w:rtl/>
          <w:lang w:eastAsia="en-US"/>
        </w:rPr>
        <w:t xml:space="preserve">التغيرات السياسية  التي شهدتها </w:t>
      </w:r>
      <w:r w:rsidR="00936445">
        <w:rPr>
          <w:rFonts w:ascii="Arial" w:hAnsi="Arial" w:cs="Simplified Arabic" w:hint="cs"/>
          <w:color w:val="000000" w:themeColor="text1"/>
          <w:rtl/>
          <w:lang w:eastAsia="en-US"/>
        </w:rPr>
        <w:t xml:space="preserve">الأراضي الفلسطينية </w:t>
      </w:r>
      <w:r w:rsidR="00BC1839">
        <w:rPr>
          <w:rFonts w:ascii="Arial" w:hAnsi="Arial" w:cs="Simplified Arabic" w:hint="cs"/>
          <w:color w:val="000000" w:themeColor="text1"/>
          <w:rtl/>
          <w:lang w:eastAsia="en-US"/>
        </w:rPr>
        <w:t xml:space="preserve">خلال تلك الفترة، والتي انعكست </w:t>
      </w:r>
      <w:r w:rsidR="009C0D17">
        <w:rPr>
          <w:rFonts w:ascii="Arial" w:hAnsi="Arial" w:cs="Simplified Arabic" w:hint="cs"/>
          <w:color w:val="000000" w:themeColor="text1"/>
          <w:rtl/>
          <w:lang w:eastAsia="en-US"/>
        </w:rPr>
        <w:t>على الوضع ال</w:t>
      </w:r>
      <w:r w:rsidR="00BC1839">
        <w:rPr>
          <w:rFonts w:ascii="Arial" w:hAnsi="Arial" w:cs="Simplified Arabic" w:hint="cs"/>
          <w:color w:val="000000" w:themeColor="text1"/>
          <w:rtl/>
          <w:lang w:eastAsia="en-US"/>
        </w:rPr>
        <w:t>ا</w:t>
      </w:r>
      <w:r w:rsidR="009C0D17">
        <w:rPr>
          <w:rFonts w:ascii="Arial" w:hAnsi="Arial" w:cs="Simplified Arabic" w:hint="cs"/>
          <w:color w:val="000000" w:themeColor="text1"/>
          <w:rtl/>
          <w:lang w:eastAsia="en-US"/>
        </w:rPr>
        <w:t>قتصادي في الأراضي الفلسطينية</w:t>
      </w:r>
      <w:r w:rsidR="00BC1839">
        <w:rPr>
          <w:rFonts w:ascii="Arial" w:hAnsi="Arial" w:cs="Simplified Arabic" w:hint="cs"/>
          <w:color w:val="000000" w:themeColor="text1"/>
          <w:rtl/>
          <w:lang w:eastAsia="en-US"/>
        </w:rPr>
        <w:t>. وبالرغم من الارتفاع الحاد في قيمة التحويلات الجارية خلال ال</w:t>
      </w:r>
      <w:r w:rsidR="00673A35">
        <w:rPr>
          <w:rFonts w:ascii="Arial" w:hAnsi="Arial" w:cs="Simplified Arabic" w:hint="cs"/>
          <w:color w:val="000000" w:themeColor="text1"/>
          <w:rtl/>
          <w:lang w:eastAsia="en-US"/>
        </w:rPr>
        <w:t xml:space="preserve">عام </w:t>
      </w:r>
      <w:r w:rsidR="00673A35" w:rsidRPr="00ED202D">
        <w:rPr>
          <w:rFonts w:cs="Simplified Arabic" w:hint="cs"/>
          <w:color w:val="000000" w:themeColor="text1"/>
          <w:rtl/>
        </w:rPr>
        <w:t>2008</w:t>
      </w:r>
      <w:r w:rsidR="00BC1839">
        <w:rPr>
          <w:rFonts w:ascii="Arial" w:hAnsi="Arial" w:cs="Simplified Arabic" w:hint="cs"/>
          <w:color w:val="000000" w:themeColor="text1"/>
          <w:rtl/>
          <w:lang w:eastAsia="en-US"/>
        </w:rPr>
        <w:t xml:space="preserve">، فقد </w:t>
      </w:r>
      <w:r w:rsidR="00673A35">
        <w:rPr>
          <w:rFonts w:ascii="Arial" w:hAnsi="Arial" w:cs="Simplified Arabic" w:hint="cs"/>
          <w:color w:val="000000" w:themeColor="text1"/>
          <w:rtl/>
          <w:lang w:eastAsia="en-US"/>
        </w:rPr>
        <w:t xml:space="preserve">انخفضت التحويلات الرأسمالية لتصل إلى </w:t>
      </w:r>
      <w:r w:rsidR="00673A35" w:rsidRPr="00ED202D">
        <w:rPr>
          <w:rFonts w:cs="Simplified Arabic" w:hint="cs"/>
          <w:color w:val="000000" w:themeColor="text1"/>
          <w:rtl/>
        </w:rPr>
        <w:t>397.5</w:t>
      </w:r>
      <w:r w:rsidR="00673A35">
        <w:rPr>
          <w:rFonts w:ascii="Arial" w:hAnsi="Arial" w:cs="Simplified Arabic" w:hint="cs"/>
          <w:color w:val="000000" w:themeColor="text1"/>
          <w:rtl/>
          <w:lang w:eastAsia="en-US"/>
        </w:rPr>
        <w:t xml:space="preserve"> مليون دولار</w:t>
      </w:r>
      <w:r w:rsidR="00BC1839">
        <w:rPr>
          <w:rFonts w:ascii="Arial" w:hAnsi="Arial" w:cs="Simplified Arabic" w:hint="cs"/>
          <w:color w:val="000000" w:themeColor="text1"/>
          <w:rtl/>
          <w:lang w:eastAsia="en-US"/>
        </w:rPr>
        <w:t xml:space="preserve">، </w:t>
      </w:r>
      <w:r w:rsidR="00B52F66">
        <w:rPr>
          <w:rFonts w:ascii="Arial" w:hAnsi="Arial" w:cs="Simplified Arabic" w:hint="cs"/>
          <w:color w:val="000000" w:themeColor="text1"/>
          <w:rtl/>
          <w:lang w:eastAsia="en-US"/>
        </w:rPr>
        <w:t xml:space="preserve">كما </w:t>
      </w:r>
      <w:r w:rsidR="00BC1839">
        <w:rPr>
          <w:rFonts w:ascii="Arial" w:hAnsi="Arial" w:cs="Simplified Arabic" w:hint="cs"/>
          <w:color w:val="000000" w:themeColor="text1"/>
          <w:rtl/>
          <w:lang w:eastAsia="en-US"/>
        </w:rPr>
        <w:t>يتضح من</w:t>
      </w:r>
      <w:r w:rsidR="00B52F66">
        <w:rPr>
          <w:rFonts w:ascii="Arial" w:hAnsi="Arial" w:cs="Simplified Arabic" w:hint="cs"/>
          <w:color w:val="000000" w:themeColor="text1"/>
          <w:rtl/>
          <w:lang w:eastAsia="en-US"/>
        </w:rPr>
        <w:t xml:space="preserve"> شكل</w:t>
      </w:r>
      <w:r w:rsidR="00B52F66" w:rsidRPr="001E59BB">
        <w:rPr>
          <w:rFonts w:cs="Simplified Arabic" w:hint="cs"/>
          <w:color w:val="000000" w:themeColor="text1"/>
          <w:rtl/>
        </w:rPr>
        <w:t xml:space="preserve"> </w:t>
      </w:r>
      <w:r w:rsidR="002F5404" w:rsidRPr="001E59BB">
        <w:rPr>
          <w:rFonts w:cs="Simplified Arabic" w:hint="cs"/>
          <w:color w:val="000000" w:themeColor="text1"/>
          <w:rtl/>
        </w:rPr>
        <w:t>14</w:t>
      </w:r>
      <w:r w:rsidR="00B52F66">
        <w:rPr>
          <w:rFonts w:ascii="Arial" w:hAnsi="Arial" w:cs="Simplified Arabic" w:hint="cs"/>
          <w:color w:val="000000" w:themeColor="text1"/>
          <w:rtl/>
          <w:lang w:eastAsia="en-US"/>
        </w:rPr>
        <w:t>.</w:t>
      </w:r>
      <w:r w:rsidR="005F0905" w:rsidRPr="005F0905">
        <w:rPr>
          <w:rFonts w:ascii="Arial" w:hAnsi="Arial" w:cs="Simplified Arabic" w:hint="cs"/>
          <w:color w:val="000000" w:themeColor="text1"/>
          <w:rtl/>
          <w:lang w:eastAsia="en-US"/>
        </w:rPr>
        <w:t xml:space="preserve"> </w:t>
      </w:r>
    </w:p>
    <w:p w:rsidR="00A92615" w:rsidRPr="005E1859" w:rsidRDefault="00A92615" w:rsidP="005E1859">
      <w:pPr>
        <w:jc w:val="both"/>
        <w:rPr>
          <w:rFonts w:cs="Simplified Arabic"/>
          <w:b/>
          <w:bCs/>
          <w:color w:val="000000" w:themeColor="text1"/>
          <w:rtl/>
        </w:rPr>
      </w:pPr>
    </w:p>
    <w:p w:rsidR="00F63205" w:rsidRPr="00165FD2" w:rsidRDefault="00B45AC2" w:rsidP="00006D99">
      <w:pPr>
        <w:jc w:val="center"/>
        <w:rPr>
          <w:rFonts w:cs="Simplified Arabic"/>
          <w:b/>
          <w:bCs/>
          <w:color w:val="000000" w:themeColor="text1"/>
          <w:sz w:val="22"/>
          <w:szCs w:val="22"/>
          <w:rtl/>
        </w:rPr>
      </w:pPr>
      <w:r w:rsidRPr="00165FD2">
        <w:rPr>
          <w:rFonts w:cs="Simplified Arabic" w:hint="cs"/>
          <w:b/>
          <w:bCs/>
          <w:color w:val="000000" w:themeColor="text1"/>
          <w:sz w:val="22"/>
          <w:szCs w:val="22"/>
          <w:rtl/>
        </w:rPr>
        <w:t>شكل 1</w:t>
      </w:r>
      <w:r w:rsidR="00006D99">
        <w:rPr>
          <w:rFonts w:cs="Simplified Arabic" w:hint="cs"/>
          <w:b/>
          <w:bCs/>
          <w:color w:val="000000" w:themeColor="text1"/>
          <w:sz w:val="22"/>
          <w:szCs w:val="22"/>
          <w:rtl/>
        </w:rPr>
        <w:t>4</w:t>
      </w:r>
      <w:r w:rsidRPr="00165FD2">
        <w:rPr>
          <w:rFonts w:cs="Simplified Arabic" w:hint="cs"/>
          <w:b/>
          <w:bCs/>
          <w:color w:val="000000" w:themeColor="text1"/>
          <w:sz w:val="22"/>
          <w:szCs w:val="22"/>
          <w:rtl/>
        </w:rPr>
        <w:t>: حركة التحويلات الخارجية الجارية والرأسمالية للأراضي الفلسطينية، (2004-20</w:t>
      </w:r>
      <w:r w:rsidR="00D017B9" w:rsidRPr="00165FD2">
        <w:rPr>
          <w:rFonts w:cs="Simplified Arabic" w:hint="cs"/>
          <w:b/>
          <w:bCs/>
          <w:color w:val="000000" w:themeColor="text1"/>
          <w:sz w:val="22"/>
          <w:szCs w:val="22"/>
          <w:rtl/>
        </w:rPr>
        <w:t>11</w:t>
      </w:r>
      <w:r w:rsidRPr="00165FD2">
        <w:rPr>
          <w:rFonts w:cs="Simplified Arabic" w:hint="cs"/>
          <w:b/>
          <w:bCs/>
          <w:color w:val="000000" w:themeColor="text1"/>
          <w:sz w:val="22"/>
          <w:szCs w:val="22"/>
          <w:rtl/>
        </w:rPr>
        <w:t>)</w:t>
      </w:r>
    </w:p>
    <w:p w:rsidR="00F63205" w:rsidRPr="00165FD2" w:rsidRDefault="00265E1A" w:rsidP="004B2DC7">
      <w:pPr>
        <w:spacing w:after="120"/>
        <w:jc w:val="center"/>
        <w:rPr>
          <w:rFonts w:cs="Simplified Arabic"/>
          <w:color w:val="000000" w:themeColor="text1"/>
          <w:rtl/>
        </w:rPr>
      </w:pPr>
      <w:r w:rsidRPr="00165FD2">
        <w:rPr>
          <w:noProof/>
          <w:color w:val="000000" w:themeColor="text1"/>
          <w:lang w:eastAsia="en-US"/>
        </w:rPr>
        <w:drawing>
          <wp:inline distT="0" distB="0" distL="0" distR="0">
            <wp:extent cx="4486275" cy="2743200"/>
            <wp:effectExtent l="19050" t="0" r="9525" b="0"/>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63205" w:rsidRDefault="00B45AC2" w:rsidP="009E59E1">
      <w:pPr>
        <w:rPr>
          <w:rFonts w:cs="Simplified Arabic"/>
          <w:color w:val="000000" w:themeColor="text1"/>
          <w:rtl/>
        </w:rPr>
      </w:pPr>
      <w:r w:rsidRPr="00165FD2">
        <w:rPr>
          <w:rFonts w:cs="Simplified Arabic" w:hint="cs"/>
          <w:color w:val="000000" w:themeColor="text1"/>
          <w:rtl/>
        </w:rPr>
        <w:t xml:space="preserve"> </w:t>
      </w:r>
    </w:p>
    <w:p w:rsidR="00D65B7E" w:rsidRDefault="00D65B7E" w:rsidP="009E59E1">
      <w:pPr>
        <w:rPr>
          <w:rFonts w:cs="Simplified Arabic"/>
          <w:color w:val="000000" w:themeColor="text1"/>
          <w:rtl/>
        </w:rPr>
      </w:pPr>
    </w:p>
    <w:p w:rsidR="00D65B7E" w:rsidRDefault="00D65B7E" w:rsidP="009E59E1">
      <w:pPr>
        <w:rPr>
          <w:rFonts w:cs="Simplified Arabic"/>
          <w:color w:val="000000" w:themeColor="text1"/>
          <w:rtl/>
        </w:rPr>
      </w:pPr>
    </w:p>
    <w:p w:rsidR="00D65B7E" w:rsidRDefault="00D65B7E" w:rsidP="009E59E1">
      <w:pPr>
        <w:rPr>
          <w:rFonts w:cs="Simplified Arabic"/>
          <w:color w:val="000000" w:themeColor="text1"/>
          <w:rtl/>
        </w:rPr>
      </w:pPr>
    </w:p>
    <w:p w:rsidR="00D65B7E" w:rsidRDefault="00D65B7E" w:rsidP="009E59E1">
      <w:pPr>
        <w:rPr>
          <w:rFonts w:cs="Simplified Arabic"/>
          <w:color w:val="000000" w:themeColor="text1"/>
          <w:rtl/>
        </w:rPr>
      </w:pPr>
    </w:p>
    <w:p w:rsidR="00D65B7E" w:rsidRDefault="00D65B7E" w:rsidP="009E59E1">
      <w:pPr>
        <w:rPr>
          <w:rFonts w:cs="Simplified Arabic"/>
          <w:color w:val="000000" w:themeColor="text1"/>
          <w:rtl/>
        </w:rPr>
      </w:pPr>
    </w:p>
    <w:p w:rsidR="00D65B7E" w:rsidRDefault="00D65B7E" w:rsidP="009E59E1">
      <w:pPr>
        <w:rPr>
          <w:rFonts w:cs="Simplified Arabic"/>
          <w:color w:val="000000" w:themeColor="text1"/>
          <w:rtl/>
        </w:rPr>
      </w:pPr>
    </w:p>
    <w:p w:rsidR="005A7EB5" w:rsidRDefault="005A7EB5" w:rsidP="009E59E1">
      <w:pPr>
        <w:rPr>
          <w:rFonts w:cs="Simplified Arabic"/>
          <w:color w:val="000000" w:themeColor="text1"/>
          <w:rtl/>
        </w:rPr>
      </w:pPr>
    </w:p>
    <w:p w:rsidR="005A7EB5" w:rsidRDefault="005A7EB5" w:rsidP="009E59E1">
      <w:pPr>
        <w:rPr>
          <w:rFonts w:cs="Simplified Arabic"/>
          <w:color w:val="000000" w:themeColor="text1"/>
          <w:rtl/>
        </w:rPr>
      </w:pPr>
    </w:p>
    <w:p w:rsidR="005A7EB5" w:rsidRDefault="005A7EB5" w:rsidP="009E59E1">
      <w:pPr>
        <w:rPr>
          <w:rFonts w:cs="Simplified Arabic"/>
          <w:color w:val="000000" w:themeColor="text1"/>
          <w:rtl/>
        </w:rPr>
      </w:pPr>
    </w:p>
    <w:p w:rsidR="00526C1F" w:rsidRDefault="00526C1F" w:rsidP="009E59E1">
      <w:pPr>
        <w:rPr>
          <w:rFonts w:cs="Simplified Arabic"/>
          <w:color w:val="000000" w:themeColor="text1"/>
          <w:rtl/>
        </w:rPr>
      </w:pPr>
    </w:p>
    <w:p w:rsidR="00526C1F" w:rsidRDefault="00526C1F" w:rsidP="009E59E1">
      <w:pPr>
        <w:rPr>
          <w:rFonts w:cs="Simplified Arabic"/>
          <w:color w:val="000000" w:themeColor="text1"/>
          <w:rtl/>
        </w:rPr>
      </w:pPr>
    </w:p>
    <w:p w:rsidR="00526C1F" w:rsidRDefault="00526C1F" w:rsidP="009E59E1">
      <w:pPr>
        <w:rPr>
          <w:rFonts w:cs="Simplified Arabic"/>
          <w:color w:val="000000" w:themeColor="text1"/>
          <w:rtl/>
        </w:rPr>
      </w:pPr>
    </w:p>
    <w:p w:rsidR="00526C1F" w:rsidRDefault="00526C1F" w:rsidP="009E59E1">
      <w:pPr>
        <w:rPr>
          <w:rFonts w:cs="Simplified Arabic"/>
          <w:color w:val="000000" w:themeColor="text1"/>
          <w:rtl/>
        </w:rPr>
      </w:pPr>
    </w:p>
    <w:p w:rsidR="00526C1F" w:rsidRDefault="00526C1F" w:rsidP="009E59E1">
      <w:pPr>
        <w:rPr>
          <w:rFonts w:cs="Simplified Arabic"/>
          <w:color w:val="000000" w:themeColor="text1"/>
          <w:rtl/>
        </w:rPr>
      </w:pPr>
    </w:p>
    <w:p w:rsidR="00ED202D" w:rsidRDefault="00ED202D" w:rsidP="009E59E1">
      <w:pPr>
        <w:rPr>
          <w:rFonts w:cs="Simplified Arabic"/>
          <w:color w:val="000000" w:themeColor="text1"/>
          <w:rtl/>
        </w:rPr>
      </w:pPr>
    </w:p>
    <w:p w:rsidR="005A7EB5" w:rsidRDefault="005A7EB5" w:rsidP="009E59E1">
      <w:pPr>
        <w:rPr>
          <w:rFonts w:cs="Simplified Arabic"/>
          <w:color w:val="000000" w:themeColor="text1"/>
          <w:rtl/>
        </w:rPr>
      </w:pPr>
    </w:p>
    <w:p w:rsidR="00F63205" w:rsidRPr="00165FD2" w:rsidRDefault="00006D99">
      <w:pPr>
        <w:jc w:val="lowKashida"/>
        <w:rPr>
          <w:rFonts w:cs="Simplified Arabic"/>
          <w:b/>
          <w:bCs/>
          <w:color w:val="000000" w:themeColor="text1"/>
          <w:rtl/>
        </w:rPr>
      </w:pPr>
      <w:r>
        <w:rPr>
          <w:rFonts w:cs="Simplified Arabic" w:hint="cs"/>
          <w:b/>
          <w:bCs/>
          <w:color w:val="000000" w:themeColor="text1"/>
          <w:rtl/>
        </w:rPr>
        <w:lastRenderedPageBreak/>
        <w:t>6</w:t>
      </w:r>
      <w:r w:rsidR="00B45AC2" w:rsidRPr="00165FD2">
        <w:rPr>
          <w:rFonts w:cs="Simplified Arabic" w:hint="cs"/>
          <w:b/>
          <w:bCs/>
          <w:color w:val="000000" w:themeColor="text1"/>
          <w:rtl/>
        </w:rPr>
        <w:t>- التجارة الخارجية</w:t>
      </w:r>
    </w:p>
    <w:p w:rsidR="00D65B7E" w:rsidRDefault="009377B7" w:rsidP="00ED202D">
      <w:pPr>
        <w:spacing w:before="240"/>
        <w:jc w:val="both"/>
        <w:rPr>
          <w:rFonts w:cs="Simplified Arabic"/>
          <w:color w:val="000000" w:themeColor="text1"/>
          <w:rtl/>
        </w:rPr>
      </w:pPr>
      <w:r w:rsidRPr="009377B7">
        <w:rPr>
          <w:rFonts w:hint="cs"/>
          <w:b/>
          <w:bCs/>
          <w:color w:val="000000" w:themeColor="text1"/>
          <w:rtl/>
        </w:rPr>
        <w:t>ارتفع</w:t>
      </w:r>
      <w:r w:rsidR="00B45AC2" w:rsidRPr="00D65B7E">
        <w:rPr>
          <w:rFonts w:cs="Simplified Arabic" w:hint="cs"/>
          <w:b/>
          <w:bCs/>
          <w:color w:val="000000" w:themeColor="text1"/>
          <w:rtl/>
        </w:rPr>
        <w:t xml:space="preserve"> إجمالي الصادرات من السلع والخدمات</w:t>
      </w:r>
      <w:r w:rsidR="00D65B7E" w:rsidRPr="00D65B7E">
        <w:rPr>
          <w:rFonts w:cs="Simplified Arabic" w:hint="cs"/>
          <w:b/>
          <w:bCs/>
          <w:color w:val="000000" w:themeColor="text1"/>
          <w:rtl/>
        </w:rPr>
        <w:t xml:space="preserve"> (بالأسعار الجا</w:t>
      </w:r>
      <w:r w:rsidR="00552EAD">
        <w:rPr>
          <w:rFonts w:cs="Simplified Arabic" w:hint="cs"/>
          <w:b/>
          <w:bCs/>
          <w:color w:val="000000" w:themeColor="text1"/>
          <w:rtl/>
        </w:rPr>
        <w:t>ر</w:t>
      </w:r>
      <w:r w:rsidR="00D65B7E" w:rsidRPr="00D65B7E">
        <w:rPr>
          <w:rFonts w:cs="Simplified Arabic" w:hint="cs"/>
          <w:b/>
          <w:bCs/>
          <w:color w:val="000000" w:themeColor="text1"/>
          <w:rtl/>
        </w:rPr>
        <w:t>ية)</w:t>
      </w:r>
      <w:r>
        <w:rPr>
          <w:rFonts w:cs="Simplified Arabic" w:hint="cs"/>
          <w:b/>
          <w:bCs/>
          <w:color w:val="000000" w:themeColor="text1"/>
          <w:rtl/>
        </w:rPr>
        <w:t xml:space="preserve"> </w:t>
      </w:r>
      <w:r>
        <w:rPr>
          <w:rFonts w:hint="cs"/>
          <w:b/>
          <w:bCs/>
          <w:color w:val="000000" w:themeColor="text1"/>
          <w:rtl/>
        </w:rPr>
        <w:t xml:space="preserve">6.9% </w:t>
      </w:r>
      <w:r>
        <w:rPr>
          <w:rFonts w:cs="Simplified Arabic" w:hint="cs"/>
          <w:b/>
          <w:bCs/>
          <w:color w:val="000000" w:themeColor="text1"/>
          <w:rtl/>
        </w:rPr>
        <w:t>عام 2011</w:t>
      </w:r>
      <w:r w:rsidR="00B45AC2" w:rsidRPr="00D65B7E">
        <w:rPr>
          <w:rFonts w:cs="Simplified Arabic" w:hint="cs"/>
          <w:b/>
          <w:bCs/>
          <w:color w:val="000000" w:themeColor="text1"/>
          <w:rtl/>
        </w:rPr>
        <w:t xml:space="preserve"> </w:t>
      </w:r>
      <w:r>
        <w:rPr>
          <w:rFonts w:hint="cs"/>
          <w:b/>
          <w:bCs/>
          <w:color w:val="000000" w:themeColor="text1"/>
          <w:rtl/>
        </w:rPr>
        <w:t xml:space="preserve">ليصل إلى </w:t>
      </w:r>
      <w:r w:rsidR="00B45AC2" w:rsidRPr="00D65B7E">
        <w:rPr>
          <w:rFonts w:cs="Simplified Arabic" w:hint="cs"/>
          <w:b/>
          <w:bCs/>
          <w:color w:val="000000" w:themeColor="text1"/>
          <w:rtl/>
        </w:rPr>
        <w:t xml:space="preserve">حوالي </w:t>
      </w:r>
      <w:r w:rsidR="00034450" w:rsidRPr="00D65B7E">
        <w:rPr>
          <w:rFonts w:hint="cs"/>
          <w:b/>
          <w:bCs/>
          <w:color w:val="000000" w:themeColor="text1"/>
          <w:rtl/>
        </w:rPr>
        <w:t xml:space="preserve"> </w:t>
      </w:r>
      <w:r w:rsidR="00B45AC2" w:rsidRPr="00D65B7E">
        <w:rPr>
          <w:b/>
          <w:bCs/>
          <w:color w:val="000000" w:themeColor="text1"/>
          <w:rtl/>
        </w:rPr>
        <w:t>1,</w:t>
      </w:r>
      <w:r w:rsidR="00612033" w:rsidRPr="00D65B7E">
        <w:rPr>
          <w:rFonts w:hint="cs"/>
          <w:b/>
          <w:bCs/>
          <w:color w:val="000000" w:themeColor="text1"/>
          <w:rtl/>
        </w:rPr>
        <w:t>600</w:t>
      </w:r>
      <w:r w:rsidR="00034450" w:rsidRPr="00D65B7E">
        <w:rPr>
          <w:rFonts w:hint="cs"/>
          <w:b/>
          <w:bCs/>
          <w:color w:val="000000" w:themeColor="text1"/>
          <w:rtl/>
        </w:rPr>
        <w:t xml:space="preserve"> مليون دولار</w:t>
      </w:r>
      <w:r>
        <w:rPr>
          <w:rFonts w:hint="cs"/>
          <w:b/>
          <w:bCs/>
          <w:color w:val="000000" w:themeColor="text1"/>
          <w:rtl/>
        </w:rPr>
        <w:t>،</w:t>
      </w:r>
      <w:r w:rsidR="00B45AC2" w:rsidRPr="00D65B7E">
        <w:rPr>
          <w:rFonts w:cs="Simplified Arabic" w:hint="cs"/>
          <w:b/>
          <w:bCs/>
          <w:color w:val="000000" w:themeColor="text1"/>
          <w:rtl/>
        </w:rPr>
        <w:t xml:space="preserve"> </w:t>
      </w:r>
      <w:r w:rsidR="00D65B7E" w:rsidRPr="00D65B7E">
        <w:rPr>
          <w:rFonts w:cs="Simplified Arabic" w:hint="cs"/>
          <w:b/>
          <w:bCs/>
          <w:color w:val="000000" w:themeColor="text1"/>
          <w:rtl/>
        </w:rPr>
        <w:t xml:space="preserve">بينما </w:t>
      </w:r>
      <w:r>
        <w:rPr>
          <w:rFonts w:cs="Simplified Arabic" w:hint="cs"/>
          <w:b/>
          <w:bCs/>
          <w:color w:val="000000" w:themeColor="text1"/>
          <w:rtl/>
        </w:rPr>
        <w:t>ارتفع</w:t>
      </w:r>
      <w:r w:rsidRPr="00D65B7E">
        <w:rPr>
          <w:rFonts w:cs="Simplified Arabic" w:hint="cs"/>
          <w:b/>
          <w:bCs/>
          <w:color w:val="000000" w:themeColor="text1"/>
          <w:rtl/>
        </w:rPr>
        <w:t xml:space="preserve"> </w:t>
      </w:r>
      <w:r w:rsidR="00B45AC2" w:rsidRPr="00D65B7E">
        <w:rPr>
          <w:rFonts w:cs="Simplified Arabic" w:hint="cs"/>
          <w:b/>
          <w:bCs/>
          <w:color w:val="000000" w:themeColor="text1"/>
          <w:rtl/>
        </w:rPr>
        <w:t>إجمالي الواردات</w:t>
      </w:r>
      <w:r>
        <w:rPr>
          <w:rFonts w:cs="Simplified Arabic" w:hint="cs"/>
          <w:b/>
          <w:bCs/>
          <w:color w:val="000000" w:themeColor="text1"/>
          <w:rtl/>
        </w:rPr>
        <w:t xml:space="preserve"> بحوالي 7.9% ليصل إلى</w:t>
      </w:r>
      <w:r w:rsidR="00B45AC2" w:rsidRPr="00D65B7E">
        <w:rPr>
          <w:rFonts w:cs="Simplified Arabic" w:hint="cs"/>
          <w:b/>
          <w:bCs/>
          <w:color w:val="000000" w:themeColor="text1"/>
          <w:rtl/>
        </w:rPr>
        <w:t xml:space="preserve"> </w:t>
      </w:r>
      <w:r w:rsidR="00B45AC2" w:rsidRPr="00D65B7E">
        <w:rPr>
          <w:b/>
          <w:bCs/>
          <w:color w:val="000000" w:themeColor="text1"/>
          <w:rtl/>
        </w:rPr>
        <w:t>5,</w:t>
      </w:r>
      <w:r w:rsidR="00612033" w:rsidRPr="00D65B7E">
        <w:rPr>
          <w:rFonts w:hint="cs"/>
          <w:b/>
          <w:bCs/>
          <w:color w:val="000000" w:themeColor="text1"/>
          <w:rtl/>
        </w:rPr>
        <w:t>930</w:t>
      </w:r>
      <w:r w:rsidR="00B45AC2" w:rsidRPr="00D65B7E">
        <w:rPr>
          <w:rFonts w:cs="Simplified Arabic" w:hint="cs"/>
          <w:b/>
          <w:bCs/>
          <w:color w:val="000000" w:themeColor="text1"/>
          <w:rtl/>
        </w:rPr>
        <w:t xml:space="preserve"> مليون دولار</w:t>
      </w:r>
      <w:r>
        <w:rPr>
          <w:rFonts w:cs="Simplified Arabic" w:hint="cs"/>
          <w:b/>
          <w:bCs/>
          <w:color w:val="000000" w:themeColor="text1"/>
          <w:rtl/>
        </w:rPr>
        <w:t>،</w:t>
      </w:r>
      <w:r w:rsidR="00B45AC2" w:rsidRPr="00D65B7E">
        <w:rPr>
          <w:rFonts w:cs="Simplified Arabic" w:hint="cs"/>
          <w:b/>
          <w:bCs/>
          <w:color w:val="000000" w:themeColor="text1"/>
          <w:rtl/>
        </w:rPr>
        <w:t xml:space="preserve"> وهو ما </w:t>
      </w:r>
      <w:r>
        <w:rPr>
          <w:rFonts w:cs="Simplified Arabic" w:hint="cs"/>
          <w:b/>
          <w:bCs/>
          <w:color w:val="000000" w:themeColor="text1"/>
          <w:rtl/>
        </w:rPr>
        <w:t>أدى إلى زيادة</w:t>
      </w:r>
      <w:r w:rsidR="00B45AC2" w:rsidRPr="00D65B7E">
        <w:rPr>
          <w:rFonts w:cs="Simplified Arabic" w:hint="cs"/>
          <w:b/>
          <w:bCs/>
          <w:color w:val="000000" w:themeColor="text1"/>
          <w:rtl/>
        </w:rPr>
        <w:t xml:space="preserve"> </w:t>
      </w:r>
      <w:r w:rsidR="00D65B7E" w:rsidRPr="00D65B7E">
        <w:rPr>
          <w:rFonts w:cs="Simplified Arabic" w:hint="cs"/>
          <w:b/>
          <w:bCs/>
          <w:color w:val="000000" w:themeColor="text1"/>
          <w:rtl/>
        </w:rPr>
        <w:t>عجز</w:t>
      </w:r>
      <w:r w:rsidR="00B45AC2" w:rsidRPr="00D65B7E">
        <w:rPr>
          <w:rFonts w:cs="Simplified Arabic" w:hint="cs"/>
          <w:b/>
          <w:bCs/>
          <w:color w:val="000000" w:themeColor="text1"/>
          <w:rtl/>
        </w:rPr>
        <w:t xml:space="preserve"> الميزان التجاري</w:t>
      </w:r>
      <w:r>
        <w:rPr>
          <w:rFonts w:cs="Simplified Arabic" w:hint="cs"/>
          <w:b/>
          <w:bCs/>
          <w:color w:val="000000" w:themeColor="text1"/>
          <w:rtl/>
        </w:rPr>
        <w:t xml:space="preserve"> </w:t>
      </w:r>
      <w:r w:rsidRPr="00D65B7E">
        <w:rPr>
          <w:rFonts w:cs="Simplified Arabic" w:hint="cs"/>
          <w:b/>
          <w:bCs/>
          <w:color w:val="000000" w:themeColor="text1"/>
          <w:rtl/>
        </w:rPr>
        <w:t>بنسبة 9.2% بالمقارنة مع عام 2010</w:t>
      </w:r>
      <w:r w:rsidR="00672EE5">
        <w:rPr>
          <w:rFonts w:cs="Simplified Arabic" w:hint="cs"/>
          <w:b/>
          <w:bCs/>
          <w:color w:val="000000" w:themeColor="text1"/>
          <w:rtl/>
        </w:rPr>
        <w:t xml:space="preserve"> ليصل إلى حوالي 4,330</w:t>
      </w:r>
      <w:r w:rsidR="00C0539F">
        <w:rPr>
          <w:rFonts w:cs="Simplified Arabic" w:hint="cs"/>
          <w:b/>
          <w:bCs/>
          <w:color w:val="000000" w:themeColor="text1"/>
          <w:rtl/>
        </w:rPr>
        <w:t xml:space="preserve"> مليون دولار</w:t>
      </w:r>
      <w:r w:rsidR="00FF3804">
        <w:rPr>
          <w:rStyle w:val="FootnoteReference"/>
          <w:rtl/>
        </w:rPr>
        <w:footnoteReference w:customMarkFollows="1" w:id="4"/>
        <w:t>1</w:t>
      </w:r>
      <w:r w:rsidR="00672EE5">
        <w:rPr>
          <w:rFonts w:cs="Simplified Arabic" w:hint="cs"/>
          <w:color w:val="000000" w:themeColor="text1"/>
          <w:rtl/>
        </w:rPr>
        <w:t>، أي أن نسبة العجز إلى الواردات تتجاوز 73</w:t>
      </w:r>
      <w:r w:rsidR="005D2587">
        <w:rPr>
          <w:rFonts w:cs="Simplified Arabic" w:hint="cs"/>
          <w:color w:val="000000" w:themeColor="text1"/>
          <w:rtl/>
        </w:rPr>
        <w:t>.0</w:t>
      </w:r>
      <w:r w:rsidR="00672EE5">
        <w:rPr>
          <w:rFonts w:cs="Simplified Arabic" w:hint="cs"/>
          <w:color w:val="000000" w:themeColor="text1"/>
          <w:rtl/>
        </w:rPr>
        <w:t xml:space="preserve">%. </w:t>
      </w:r>
      <w:r w:rsidR="00D65B7E">
        <w:rPr>
          <w:rFonts w:cs="Simplified Arabic" w:hint="cs"/>
          <w:color w:val="000000" w:themeColor="text1"/>
          <w:rtl/>
        </w:rPr>
        <w:t>و</w:t>
      </w:r>
      <w:r w:rsidR="00672EE5">
        <w:rPr>
          <w:rFonts w:cs="Simplified Arabic" w:hint="cs"/>
          <w:color w:val="000000" w:themeColor="text1"/>
          <w:rtl/>
        </w:rPr>
        <w:t xml:space="preserve">كما يتضح من </w:t>
      </w:r>
      <w:r w:rsidR="00ED202D">
        <w:rPr>
          <w:rFonts w:cs="Simplified Arabic" w:hint="cs"/>
          <w:color w:val="000000" w:themeColor="text1"/>
          <w:rtl/>
        </w:rPr>
        <w:t>شكل 15</w:t>
      </w:r>
      <w:r w:rsidR="00672EE5">
        <w:rPr>
          <w:rFonts w:cs="Simplified Arabic" w:hint="cs"/>
          <w:color w:val="000000" w:themeColor="text1"/>
          <w:rtl/>
        </w:rPr>
        <w:t xml:space="preserve">، فقد </w:t>
      </w:r>
      <w:r w:rsidR="00D65B7E" w:rsidRPr="00165FD2">
        <w:rPr>
          <w:rFonts w:cs="Simplified Arabic" w:hint="cs"/>
          <w:color w:val="000000" w:themeColor="text1"/>
          <w:rtl/>
        </w:rPr>
        <w:t xml:space="preserve">شهدت الأراضي الفلسطينية </w:t>
      </w:r>
      <w:r w:rsidR="00672EE5" w:rsidRPr="00165FD2">
        <w:rPr>
          <w:rFonts w:cs="Simplified Arabic" w:hint="cs"/>
          <w:color w:val="000000" w:themeColor="text1"/>
          <w:rtl/>
        </w:rPr>
        <w:t xml:space="preserve">زيادة مستمرة في قيمة العجز في الميزان التجاري </w:t>
      </w:r>
      <w:r w:rsidR="00D65B7E" w:rsidRPr="00165FD2">
        <w:rPr>
          <w:rFonts w:cs="Simplified Arabic" w:hint="cs"/>
          <w:color w:val="000000" w:themeColor="text1"/>
          <w:rtl/>
        </w:rPr>
        <w:t xml:space="preserve">خلال الفترة (2004-2011) نتيجة زيادة قيمة الواردات من السلع والخدمات </w:t>
      </w:r>
      <w:r w:rsidR="00672EE5">
        <w:rPr>
          <w:rFonts w:cs="Simplified Arabic" w:hint="cs"/>
          <w:color w:val="000000" w:themeColor="text1"/>
          <w:rtl/>
        </w:rPr>
        <w:t>بنسبة</w:t>
      </w:r>
      <w:r w:rsidR="00672EE5" w:rsidRPr="00165FD2">
        <w:rPr>
          <w:rFonts w:cs="Simplified Arabic" w:hint="cs"/>
          <w:color w:val="000000" w:themeColor="text1"/>
          <w:rtl/>
        </w:rPr>
        <w:t xml:space="preserve"> </w:t>
      </w:r>
      <w:r w:rsidR="00D65B7E" w:rsidRPr="00165FD2">
        <w:rPr>
          <w:rFonts w:cs="Simplified Arabic" w:hint="cs"/>
          <w:color w:val="000000" w:themeColor="text1"/>
          <w:rtl/>
        </w:rPr>
        <w:t xml:space="preserve">أكبر من </w:t>
      </w:r>
      <w:r w:rsidR="00672EE5">
        <w:rPr>
          <w:rFonts w:cs="Simplified Arabic" w:hint="cs"/>
          <w:color w:val="000000" w:themeColor="text1"/>
          <w:rtl/>
        </w:rPr>
        <w:t xml:space="preserve">الزيادة في قيمة </w:t>
      </w:r>
      <w:r w:rsidR="00D65B7E" w:rsidRPr="00165FD2">
        <w:rPr>
          <w:rFonts w:cs="Simplified Arabic" w:hint="cs"/>
          <w:color w:val="000000" w:themeColor="text1"/>
          <w:rtl/>
        </w:rPr>
        <w:t>الصادرات</w:t>
      </w:r>
      <w:r w:rsidR="00672EE5">
        <w:rPr>
          <w:rFonts w:cs="Simplified Arabic" w:hint="cs"/>
          <w:color w:val="000000" w:themeColor="text1"/>
          <w:rtl/>
        </w:rPr>
        <w:t xml:space="preserve">. وقد </w:t>
      </w:r>
      <w:r w:rsidR="00D65B7E" w:rsidRPr="00165FD2">
        <w:rPr>
          <w:rFonts w:cs="Simplified Arabic" w:hint="cs"/>
          <w:color w:val="000000" w:themeColor="text1"/>
          <w:rtl/>
        </w:rPr>
        <w:t>بلغ متوسط الزيادة السنوية في عجز الميزان التجاري حوالي 7%.</w:t>
      </w:r>
    </w:p>
    <w:p w:rsidR="00550090" w:rsidRPr="00165FD2" w:rsidRDefault="00550090" w:rsidP="007254CC">
      <w:pPr>
        <w:spacing w:before="240"/>
        <w:jc w:val="both"/>
        <w:rPr>
          <w:rFonts w:cs="Simplified Arabic"/>
          <w:color w:val="000000" w:themeColor="text1"/>
          <w:rtl/>
        </w:rPr>
      </w:pPr>
    </w:p>
    <w:p w:rsidR="00D65B7E" w:rsidRPr="00165FD2" w:rsidRDefault="00D65B7E" w:rsidP="009C583A">
      <w:pPr>
        <w:tabs>
          <w:tab w:val="left" w:pos="2261"/>
        </w:tabs>
        <w:jc w:val="center"/>
        <w:rPr>
          <w:rFonts w:cs="Simplified Arabic"/>
          <w:b/>
          <w:bCs/>
          <w:color w:val="000000" w:themeColor="text1"/>
          <w:sz w:val="22"/>
          <w:szCs w:val="22"/>
          <w:rtl/>
        </w:rPr>
      </w:pPr>
      <w:r w:rsidRPr="00165FD2">
        <w:rPr>
          <w:rFonts w:cs="Simplified Arabic" w:hint="cs"/>
          <w:b/>
          <w:bCs/>
          <w:color w:val="000000" w:themeColor="text1"/>
          <w:sz w:val="22"/>
          <w:szCs w:val="22"/>
          <w:rtl/>
        </w:rPr>
        <w:t>شكل</w:t>
      </w:r>
      <w:r w:rsidR="009C583A">
        <w:rPr>
          <w:rFonts w:cs="Simplified Arabic" w:hint="cs"/>
          <w:b/>
          <w:bCs/>
          <w:color w:val="000000" w:themeColor="text1"/>
          <w:sz w:val="22"/>
          <w:szCs w:val="22"/>
          <w:rtl/>
        </w:rPr>
        <w:t xml:space="preserve"> 15</w:t>
      </w:r>
      <w:r w:rsidRPr="00165FD2">
        <w:rPr>
          <w:rFonts w:cs="Simplified Arabic" w:hint="cs"/>
          <w:b/>
          <w:bCs/>
          <w:color w:val="000000" w:themeColor="text1"/>
          <w:sz w:val="22"/>
          <w:szCs w:val="22"/>
          <w:rtl/>
        </w:rPr>
        <w:t>: الميزان التجاري للسلع والخدمات في الأراضي الفلسطينية، (2004-2011)*</w:t>
      </w:r>
    </w:p>
    <w:p w:rsidR="00D65B7E" w:rsidRPr="00165FD2" w:rsidRDefault="00D65B7E" w:rsidP="00D65B7E">
      <w:pPr>
        <w:spacing w:after="120"/>
        <w:jc w:val="center"/>
        <w:rPr>
          <w:rFonts w:cs="Simplified Arabic"/>
          <w:b/>
          <w:bCs/>
          <w:color w:val="000000" w:themeColor="text1"/>
          <w:rtl/>
        </w:rPr>
      </w:pPr>
      <w:r w:rsidRPr="00165FD2">
        <w:rPr>
          <w:noProof/>
          <w:color w:val="000000" w:themeColor="text1"/>
          <w:lang w:eastAsia="en-US"/>
        </w:rPr>
        <w:drawing>
          <wp:inline distT="0" distB="0" distL="0" distR="0">
            <wp:extent cx="4648200" cy="2533650"/>
            <wp:effectExtent l="19050" t="0" r="19050" b="0"/>
            <wp:docPr id="4"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65B7E" w:rsidRDefault="00552EAD" w:rsidP="00552EAD">
      <w:pPr>
        <w:rPr>
          <w:rFonts w:cs="Simplified Arabic"/>
          <w:color w:val="000000" w:themeColor="text1"/>
          <w:sz w:val="18"/>
          <w:szCs w:val="18"/>
          <w:rtl/>
        </w:rPr>
      </w:pPr>
      <w:r w:rsidRPr="00165FD2">
        <w:rPr>
          <w:rFonts w:cs="Simplified Arabic" w:hint="cs"/>
          <w:color w:val="000000" w:themeColor="text1"/>
          <w:sz w:val="18"/>
          <w:szCs w:val="18"/>
          <w:rtl/>
        </w:rPr>
        <w:t xml:space="preserve">          </w:t>
      </w:r>
      <w:r w:rsidR="00ED202D">
        <w:rPr>
          <w:rFonts w:cs="Simplified Arabic" w:hint="cs"/>
          <w:color w:val="000000" w:themeColor="text1"/>
          <w:sz w:val="18"/>
          <w:szCs w:val="18"/>
          <w:rtl/>
        </w:rPr>
        <w:t xml:space="preserve">     </w:t>
      </w:r>
      <w:r w:rsidRPr="00165FD2">
        <w:rPr>
          <w:rFonts w:cs="Simplified Arabic" w:hint="cs"/>
          <w:color w:val="000000" w:themeColor="text1"/>
          <w:sz w:val="18"/>
          <w:szCs w:val="18"/>
          <w:rtl/>
        </w:rPr>
        <w:t xml:space="preserve"> * بيانات 201</w:t>
      </w:r>
      <w:r>
        <w:rPr>
          <w:rFonts w:cs="Simplified Arabic" w:hint="cs"/>
          <w:color w:val="000000" w:themeColor="text1"/>
          <w:sz w:val="18"/>
          <w:szCs w:val="18"/>
          <w:rtl/>
        </w:rPr>
        <w:t>1</w:t>
      </w:r>
      <w:r w:rsidRPr="00165FD2">
        <w:rPr>
          <w:rFonts w:cs="Simplified Arabic" w:hint="cs"/>
          <w:color w:val="000000" w:themeColor="text1"/>
          <w:sz w:val="18"/>
          <w:szCs w:val="18"/>
          <w:rtl/>
        </w:rPr>
        <w:t xml:space="preserve"> تقديرية</w:t>
      </w:r>
    </w:p>
    <w:p w:rsidR="00552EAD" w:rsidRDefault="00552EAD" w:rsidP="00552EAD">
      <w:pPr>
        <w:rPr>
          <w:rFonts w:cs="Simplified Arabic"/>
          <w:color w:val="000000" w:themeColor="text1"/>
          <w:sz w:val="18"/>
          <w:szCs w:val="18"/>
          <w:rtl/>
        </w:rPr>
      </w:pPr>
    </w:p>
    <w:p w:rsidR="00F06D54" w:rsidRDefault="00F06D54" w:rsidP="007254CC">
      <w:pPr>
        <w:spacing w:before="240"/>
        <w:jc w:val="both"/>
        <w:rPr>
          <w:rFonts w:cs="Simplified Arabic"/>
          <w:b/>
          <w:bCs/>
          <w:color w:val="000000" w:themeColor="text1"/>
          <w:rtl/>
        </w:rPr>
      </w:pPr>
      <w:r>
        <w:rPr>
          <w:rFonts w:cs="Simplified Arabic" w:hint="cs"/>
          <w:b/>
          <w:bCs/>
          <w:color w:val="000000" w:themeColor="text1"/>
          <w:rtl/>
        </w:rPr>
        <w:t xml:space="preserve">تتركز التجارة الخارجية للأراضي الفلسطينية مع إسرائيل، فقد بلغت </w:t>
      </w:r>
      <w:r w:rsidR="00B45AC2" w:rsidRPr="00552EAD">
        <w:rPr>
          <w:rFonts w:cs="Simplified Arabic" w:hint="cs"/>
          <w:b/>
          <w:bCs/>
          <w:color w:val="000000" w:themeColor="text1"/>
          <w:rtl/>
        </w:rPr>
        <w:t>الواردات</w:t>
      </w:r>
      <w:r w:rsidR="00552EAD" w:rsidRPr="00552EAD">
        <w:rPr>
          <w:rFonts w:cs="Simplified Arabic" w:hint="cs"/>
          <w:b/>
          <w:bCs/>
          <w:color w:val="000000" w:themeColor="text1"/>
          <w:rtl/>
        </w:rPr>
        <w:t xml:space="preserve"> المرصودة</w:t>
      </w:r>
      <w:r w:rsidR="00B45AC2" w:rsidRPr="00552EAD">
        <w:rPr>
          <w:rFonts w:cs="Simplified Arabic" w:hint="cs"/>
          <w:b/>
          <w:bCs/>
          <w:color w:val="000000" w:themeColor="text1"/>
          <w:rtl/>
        </w:rPr>
        <w:t xml:space="preserve"> من إسرائيل </w:t>
      </w:r>
      <w:r>
        <w:rPr>
          <w:rFonts w:cs="Simplified Arabic" w:hint="cs"/>
          <w:b/>
          <w:bCs/>
          <w:color w:val="000000" w:themeColor="text1"/>
          <w:rtl/>
        </w:rPr>
        <w:t xml:space="preserve">عام 2010 </w:t>
      </w:r>
      <w:r w:rsidR="00B45AC2" w:rsidRPr="00552EAD">
        <w:rPr>
          <w:rFonts w:cs="Simplified Arabic" w:hint="cs"/>
          <w:b/>
          <w:bCs/>
          <w:color w:val="000000" w:themeColor="text1"/>
          <w:rtl/>
        </w:rPr>
        <w:t xml:space="preserve">ما نسبته </w:t>
      </w:r>
      <w:r w:rsidR="00C86E7A" w:rsidRPr="00552EAD">
        <w:rPr>
          <w:rFonts w:cs="Simplified Arabic" w:hint="cs"/>
          <w:b/>
          <w:bCs/>
          <w:color w:val="000000" w:themeColor="text1"/>
          <w:rtl/>
        </w:rPr>
        <w:t>69</w:t>
      </w:r>
      <w:r w:rsidR="00B45AC2" w:rsidRPr="00552EAD">
        <w:rPr>
          <w:rFonts w:cs="Simplified Arabic" w:hint="cs"/>
          <w:b/>
          <w:bCs/>
          <w:color w:val="000000" w:themeColor="text1"/>
          <w:rtl/>
        </w:rPr>
        <w:t>.</w:t>
      </w:r>
      <w:r w:rsidR="00C86E7A" w:rsidRPr="00552EAD">
        <w:rPr>
          <w:rFonts w:cs="Simplified Arabic" w:hint="cs"/>
          <w:b/>
          <w:bCs/>
          <w:color w:val="000000" w:themeColor="text1"/>
          <w:rtl/>
        </w:rPr>
        <w:t>4</w:t>
      </w:r>
      <w:r w:rsidR="00B45AC2" w:rsidRPr="00552EAD">
        <w:rPr>
          <w:rFonts w:cs="Simplified Arabic" w:hint="cs"/>
          <w:b/>
          <w:bCs/>
          <w:color w:val="000000" w:themeColor="text1"/>
          <w:rtl/>
        </w:rPr>
        <w:t>% من إجمالي السلع المستوردة إلى الأراضي الفلسطينية</w:t>
      </w:r>
      <w:r w:rsidR="00672EE5" w:rsidRPr="00F06D54">
        <w:rPr>
          <w:rFonts w:cs="Simplified Arabic" w:hint="cs"/>
          <w:b/>
          <w:bCs/>
          <w:color w:val="000000" w:themeColor="text1"/>
          <w:rtl/>
        </w:rPr>
        <w:t>،</w:t>
      </w:r>
      <w:r>
        <w:rPr>
          <w:rFonts w:cs="Simplified Arabic" w:hint="cs"/>
          <w:b/>
          <w:bCs/>
          <w:color w:val="000000" w:themeColor="text1"/>
          <w:rtl/>
        </w:rPr>
        <w:t xml:space="preserve"> بينما </w:t>
      </w:r>
      <w:r w:rsidRPr="00552EAD">
        <w:rPr>
          <w:rFonts w:cs="Simplified Arabic" w:hint="cs"/>
          <w:b/>
          <w:bCs/>
          <w:color w:val="000000" w:themeColor="text1"/>
          <w:rtl/>
        </w:rPr>
        <w:t>شكل</w:t>
      </w:r>
      <w:r>
        <w:rPr>
          <w:rFonts w:cs="Simplified Arabic" w:hint="cs"/>
          <w:b/>
          <w:bCs/>
          <w:color w:val="000000" w:themeColor="text1"/>
          <w:rtl/>
        </w:rPr>
        <w:t>ت</w:t>
      </w:r>
      <w:r w:rsidRPr="00552EAD">
        <w:rPr>
          <w:rFonts w:cs="Simplified Arabic" w:hint="cs"/>
          <w:b/>
          <w:bCs/>
          <w:color w:val="000000" w:themeColor="text1"/>
          <w:rtl/>
        </w:rPr>
        <w:t xml:space="preserve"> </w:t>
      </w:r>
      <w:r>
        <w:rPr>
          <w:rFonts w:cs="Simplified Arabic" w:hint="cs"/>
          <w:b/>
          <w:bCs/>
          <w:color w:val="000000" w:themeColor="text1"/>
          <w:rtl/>
        </w:rPr>
        <w:t>الصادرات</w:t>
      </w:r>
      <w:r w:rsidRPr="00552EAD">
        <w:rPr>
          <w:rFonts w:cs="Simplified Arabic" w:hint="cs"/>
          <w:b/>
          <w:bCs/>
          <w:color w:val="000000" w:themeColor="text1"/>
          <w:rtl/>
        </w:rPr>
        <w:t xml:space="preserve"> المرصودة </w:t>
      </w:r>
      <w:r>
        <w:rPr>
          <w:rFonts w:cs="Simplified Arabic" w:hint="cs"/>
          <w:b/>
          <w:bCs/>
          <w:color w:val="000000" w:themeColor="text1"/>
          <w:rtl/>
        </w:rPr>
        <w:t>إلى</w:t>
      </w:r>
      <w:r w:rsidRPr="00552EAD">
        <w:rPr>
          <w:rFonts w:cs="Simplified Arabic" w:hint="cs"/>
          <w:b/>
          <w:bCs/>
          <w:color w:val="000000" w:themeColor="text1"/>
          <w:rtl/>
        </w:rPr>
        <w:t xml:space="preserve"> إسرائيل ما نسبته </w:t>
      </w:r>
      <w:r>
        <w:rPr>
          <w:rFonts w:cs="Simplified Arabic" w:hint="cs"/>
          <w:b/>
          <w:bCs/>
          <w:color w:val="000000" w:themeColor="text1"/>
          <w:rtl/>
        </w:rPr>
        <w:t>92.0</w:t>
      </w:r>
      <w:r w:rsidRPr="00552EAD">
        <w:rPr>
          <w:rFonts w:cs="Simplified Arabic" w:hint="cs"/>
          <w:b/>
          <w:bCs/>
          <w:color w:val="000000" w:themeColor="text1"/>
          <w:rtl/>
        </w:rPr>
        <w:t xml:space="preserve">% من إجمالي السلع </w:t>
      </w:r>
      <w:r>
        <w:rPr>
          <w:rFonts w:cs="Simplified Arabic" w:hint="cs"/>
          <w:b/>
          <w:bCs/>
          <w:color w:val="000000" w:themeColor="text1"/>
          <w:rtl/>
        </w:rPr>
        <w:t>المصدرة</w:t>
      </w:r>
      <w:r w:rsidRPr="00552EAD">
        <w:rPr>
          <w:rFonts w:cs="Simplified Arabic" w:hint="cs"/>
          <w:b/>
          <w:bCs/>
          <w:color w:val="000000" w:themeColor="text1"/>
          <w:rtl/>
        </w:rPr>
        <w:t xml:space="preserve"> </w:t>
      </w:r>
      <w:r>
        <w:rPr>
          <w:rFonts w:cs="Simplified Arabic" w:hint="cs"/>
          <w:b/>
          <w:bCs/>
          <w:color w:val="000000" w:themeColor="text1"/>
          <w:rtl/>
        </w:rPr>
        <w:t>من</w:t>
      </w:r>
      <w:r w:rsidRPr="00552EAD">
        <w:rPr>
          <w:rFonts w:cs="Simplified Arabic" w:hint="cs"/>
          <w:b/>
          <w:bCs/>
          <w:color w:val="000000" w:themeColor="text1"/>
          <w:rtl/>
        </w:rPr>
        <w:t xml:space="preserve"> الأراضي الفلسطينية</w:t>
      </w:r>
      <w:r w:rsidRPr="00552EAD">
        <w:rPr>
          <w:rFonts w:ascii="sim" w:hAnsi="sim" w:cs="Simplified Arabic" w:hint="cs"/>
          <w:color w:val="000000" w:themeColor="text1"/>
          <w:rtl/>
        </w:rPr>
        <w:t>.</w:t>
      </w:r>
      <w:r>
        <w:rPr>
          <w:rFonts w:ascii="sim" w:hAnsi="sim" w:cs="Simplified Arabic" w:hint="cs"/>
          <w:color w:val="000000" w:themeColor="text1"/>
          <w:rtl/>
        </w:rPr>
        <w:t xml:space="preserve"> و</w:t>
      </w:r>
      <w:r w:rsidR="00672EE5" w:rsidRPr="00F06D54">
        <w:rPr>
          <w:rFonts w:cs="Simplified Arabic" w:hint="cs"/>
          <w:b/>
          <w:bCs/>
          <w:color w:val="000000" w:themeColor="text1"/>
          <w:rtl/>
        </w:rPr>
        <w:t>يعكس</w:t>
      </w:r>
      <w:r w:rsidR="00B45AC2" w:rsidRPr="00F06D54">
        <w:rPr>
          <w:rFonts w:cs="Simplified Arabic" w:hint="cs"/>
          <w:b/>
          <w:bCs/>
          <w:color w:val="000000" w:themeColor="text1"/>
          <w:rtl/>
        </w:rPr>
        <w:t xml:space="preserve"> </w:t>
      </w:r>
      <w:r>
        <w:rPr>
          <w:rFonts w:cs="Simplified Arabic" w:hint="cs"/>
          <w:b/>
          <w:bCs/>
          <w:color w:val="000000" w:themeColor="text1"/>
          <w:rtl/>
        </w:rPr>
        <w:t xml:space="preserve">ذلك </w:t>
      </w:r>
      <w:r w:rsidR="00B45AC2" w:rsidRPr="00F06D54">
        <w:rPr>
          <w:rFonts w:cs="Simplified Arabic" w:hint="cs"/>
          <w:b/>
          <w:bCs/>
          <w:color w:val="000000" w:themeColor="text1"/>
          <w:rtl/>
        </w:rPr>
        <w:t>حجم ارتباط وتبعية الاقتصاد</w:t>
      </w:r>
      <w:r w:rsidR="00672EE5" w:rsidRPr="00F06D54">
        <w:rPr>
          <w:rFonts w:cs="Simplified Arabic" w:hint="cs"/>
          <w:b/>
          <w:bCs/>
          <w:color w:val="000000" w:themeColor="text1"/>
          <w:rtl/>
        </w:rPr>
        <w:t xml:space="preserve"> الفلسطيني </w:t>
      </w:r>
      <w:r w:rsidR="00B45AC2" w:rsidRPr="00F06D54">
        <w:rPr>
          <w:rFonts w:cs="Simplified Arabic" w:hint="cs"/>
          <w:b/>
          <w:bCs/>
          <w:color w:val="000000" w:themeColor="text1"/>
          <w:rtl/>
        </w:rPr>
        <w:t>لإسرائيل</w:t>
      </w:r>
      <w:r>
        <w:rPr>
          <w:rFonts w:cs="Simplified Arabic" w:hint="cs"/>
          <w:b/>
          <w:bCs/>
          <w:color w:val="000000" w:themeColor="text1"/>
          <w:rtl/>
        </w:rPr>
        <w:t xml:space="preserve"> نتيجة </w:t>
      </w:r>
      <w:r w:rsidRPr="00501561">
        <w:rPr>
          <w:rFonts w:cs="Simplified Arabic" w:hint="cs"/>
          <w:b/>
          <w:bCs/>
          <w:color w:val="000000" w:themeColor="text1"/>
          <w:rtl/>
        </w:rPr>
        <w:t>سيطرة الاحتلال الإسرائيلي على المعابر</w:t>
      </w:r>
      <w:r>
        <w:rPr>
          <w:rFonts w:cs="Simplified Arabic" w:hint="cs"/>
          <w:b/>
          <w:bCs/>
          <w:color w:val="000000" w:themeColor="text1"/>
          <w:rtl/>
        </w:rPr>
        <w:t xml:space="preserve"> والعراقيل والإجراءات التي يضعها الاحتلال أمام الصادرات الفلسطينية. </w:t>
      </w:r>
    </w:p>
    <w:p w:rsidR="00F21B91" w:rsidRDefault="00957E5F" w:rsidP="002C3842">
      <w:pPr>
        <w:spacing w:before="240"/>
        <w:jc w:val="both"/>
        <w:rPr>
          <w:rFonts w:cs="Simplified Arabic"/>
          <w:color w:val="000000" w:themeColor="text1"/>
          <w:rtl/>
        </w:rPr>
      </w:pPr>
      <w:r>
        <w:rPr>
          <w:rFonts w:cs="Simplified Arabic" w:hint="cs"/>
          <w:b/>
          <w:bCs/>
          <w:color w:val="000000" w:themeColor="text1"/>
          <w:rtl/>
        </w:rPr>
        <w:t xml:space="preserve">تتركز </w:t>
      </w:r>
      <w:r w:rsidR="00F06D54">
        <w:rPr>
          <w:rFonts w:cs="Simplified Arabic" w:hint="cs"/>
          <w:b/>
          <w:bCs/>
          <w:color w:val="000000" w:themeColor="text1"/>
          <w:rtl/>
        </w:rPr>
        <w:t>الواردات والصادرات الفلسطينية</w:t>
      </w:r>
      <w:r>
        <w:rPr>
          <w:rFonts w:cs="Simplified Arabic" w:hint="cs"/>
          <w:b/>
          <w:bCs/>
          <w:color w:val="000000" w:themeColor="text1"/>
          <w:rtl/>
        </w:rPr>
        <w:t xml:space="preserve"> في مجموعة محددة من السلع</w:t>
      </w:r>
      <w:r w:rsidR="00F06D54">
        <w:rPr>
          <w:rFonts w:cs="Simplified Arabic" w:hint="cs"/>
          <w:b/>
          <w:bCs/>
          <w:color w:val="000000" w:themeColor="text1"/>
          <w:rtl/>
        </w:rPr>
        <w:t xml:space="preserve">. </w:t>
      </w:r>
      <w:r w:rsidR="00F21B91">
        <w:rPr>
          <w:rFonts w:cs="Simplified Arabic" w:hint="cs"/>
          <w:color w:val="000000" w:themeColor="text1"/>
          <w:rtl/>
        </w:rPr>
        <w:t xml:space="preserve">فكما يتضح من جدول </w:t>
      </w:r>
      <w:r w:rsidR="00006D99">
        <w:rPr>
          <w:rFonts w:cs="Simplified Arabic" w:hint="cs"/>
          <w:color w:val="000000" w:themeColor="text1"/>
          <w:rtl/>
        </w:rPr>
        <w:t>8</w:t>
      </w:r>
      <w:r>
        <w:rPr>
          <w:rFonts w:cs="Simplified Arabic" w:hint="cs"/>
          <w:color w:val="000000" w:themeColor="text1"/>
          <w:rtl/>
        </w:rPr>
        <w:t>،</w:t>
      </w:r>
      <w:r w:rsidRPr="00957E5F">
        <w:rPr>
          <w:rFonts w:cs="Simplified Arabic" w:hint="cs"/>
          <w:color w:val="000000" w:themeColor="text1"/>
          <w:rtl/>
        </w:rPr>
        <w:t xml:space="preserve"> </w:t>
      </w:r>
      <w:r>
        <w:rPr>
          <w:rFonts w:cs="Simplified Arabic" w:hint="cs"/>
          <w:color w:val="000000" w:themeColor="text1"/>
          <w:rtl/>
        </w:rPr>
        <w:t xml:space="preserve">احتلت أبرز عشر سلع (من أصل </w:t>
      </w:r>
      <w:r w:rsidRPr="00552EAD">
        <w:rPr>
          <w:rFonts w:cs="Simplified Arabic"/>
          <w:color w:val="000000" w:themeColor="text1"/>
          <w:lang w:eastAsia="en-US"/>
        </w:rPr>
        <w:t>4,349</w:t>
      </w:r>
      <w:r w:rsidRPr="00552EAD">
        <w:rPr>
          <w:rFonts w:cs="Simplified Arabic"/>
          <w:color w:val="000000" w:themeColor="text1"/>
          <w:rtl/>
        </w:rPr>
        <w:t xml:space="preserve"> </w:t>
      </w:r>
      <w:r w:rsidRPr="00552EAD">
        <w:rPr>
          <w:rFonts w:cs="Simplified Arabic" w:hint="cs"/>
          <w:color w:val="000000" w:themeColor="text1"/>
          <w:rtl/>
        </w:rPr>
        <w:t>سلعة</w:t>
      </w:r>
      <w:r w:rsidRPr="00957E5F">
        <w:rPr>
          <w:rFonts w:cs="Simplified Arabic" w:hint="cs"/>
          <w:color w:val="000000" w:themeColor="text1"/>
          <w:rtl/>
        </w:rPr>
        <w:t xml:space="preserve"> </w:t>
      </w:r>
      <w:r>
        <w:rPr>
          <w:rFonts w:cs="Simplified Arabic" w:hint="cs"/>
          <w:color w:val="000000" w:themeColor="text1"/>
          <w:rtl/>
        </w:rPr>
        <w:t xml:space="preserve">تم استيرادها عام 2010) حوالي ثلث الواردات </w:t>
      </w:r>
      <w:r w:rsidR="008C1850">
        <w:rPr>
          <w:rFonts w:cs="Simplified Arabic" w:hint="cs"/>
          <w:color w:val="000000" w:themeColor="text1"/>
          <w:rtl/>
        </w:rPr>
        <w:t>إلى الأراضي الفلسطينية</w:t>
      </w:r>
      <w:r w:rsidR="00F21B91">
        <w:rPr>
          <w:rFonts w:cs="Simplified Arabic" w:hint="cs"/>
          <w:color w:val="000000" w:themeColor="text1"/>
          <w:rtl/>
        </w:rPr>
        <w:t xml:space="preserve">، </w:t>
      </w:r>
      <w:r>
        <w:rPr>
          <w:rFonts w:cs="Simplified Arabic" w:hint="cs"/>
          <w:color w:val="000000" w:themeColor="text1"/>
          <w:rtl/>
        </w:rPr>
        <w:t>ويأتي في مقدمتها</w:t>
      </w:r>
      <w:r w:rsidR="00F21B91">
        <w:rPr>
          <w:rFonts w:cs="Simplified Arabic" w:hint="cs"/>
          <w:color w:val="000000" w:themeColor="text1"/>
          <w:rtl/>
        </w:rPr>
        <w:t xml:space="preserve"> </w:t>
      </w:r>
      <w:r w:rsidR="009C583A">
        <w:rPr>
          <w:rFonts w:cs="Simplified Arabic" w:hint="cs"/>
          <w:color w:val="000000" w:themeColor="text1"/>
          <w:rtl/>
        </w:rPr>
        <w:t xml:space="preserve">زيت الوقود </w:t>
      </w:r>
      <w:r w:rsidR="00F21B91" w:rsidRPr="008C1850">
        <w:rPr>
          <w:rFonts w:cs="Simplified Arabic" w:hint="cs"/>
          <w:color w:val="000000" w:themeColor="text1"/>
          <w:rtl/>
        </w:rPr>
        <w:t>(</w:t>
      </w:r>
      <w:proofErr w:type="spellStart"/>
      <w:r w:rsidR="00F21B91" w:rsidRPr="008C1850">
        <w:rPr>
          <w:rFonts w:cs="Simplified Arabic" w:hint="cs"/>
          <w:color w:val="000000" w:themeColor="text1"/>
          <w:rtl/>
        </w:rPr>
        <w:t>ديزل)</w:t>
      </w:r>
      <w:proofErr w:type="spellEnd"/>
      <w:r w:rsidR="00F21B91">
        <w:rPr>
          <w:rFonts w:cs="Simplified Arabic" w:hint="cs"/>
          <w:color w:val="000000" w:themeColor="text1"/>
          <w:rtl/>
        </w:rPr>
        <w:t xml:space="preserve"> </w:t>
      </w:r>
      <w:r>
        <w:rPr>
          <w:rFonts w:cs="Simplified Arabic" w:hint="cs"/>
          <w:color w:val="000000" w:themeColor="text1"/>
          <w:rtl/>
        </w:rPr>
        <w:t xml:space="preserve">بحوالي </w:t>
      </w:r>
      <w:proofErr w:type="spellStart"/>
      <w:r w:rsidR="00ED202D">
        <w:rPr>
          <w:rFonts w:cs="Simplified Arabic" w:hint="cs"/>
          <w:color w:val="000000" w:themeColor="text1"/>
          <w:rtl/>
        </w:rPr>
        <w:t>10.8</w:t>
      </w:r>
      <w:r>
        <w:rPr>
          <w:rFonts w:cs="Simplified Arabic" w:hint="cs"/>
          <w:color w:val="000000" w:themeColor="text1"/>
          <w:rtl/>
        </w:rPr>
        <w:t>%</w:t>
      </w:r>
      <w:proofErr w:type="spellEnd"/>
      <w:r>
        <w:rPr>
          <w:rFonts w:cs="Simplified Arabic" w:hint="cs"/>
          <w:color w:val="000000" w:themeColor="text1"/>
          <w:rtl/>
        </w:rPr>
        <w:t xml:space="preserve"> و</w:t>
      </w:r>
      <w:r w:rsidR="00F21B91">
        <w:rPr>
          <w:rFonts w:cs="Simplified Arabic" w:hint="cs"/>
          <w:color w:val="000000" w:themeColor="text1"/>
          <w:rtl/>
        </w:rPr>
        <w:t xml:space="preserve">الغاز الطبيعي 5.5% والبنزين </w:t>
      </w:r>
      <w:r w:rsidR="00501561">
        <w:rPr>
          <w:rFonts w:cs="Simplified Arabic"/>
          <w:color w:val="000000" w:themeColor="text1"/>
        </w:rPr>
        <w:t>5.3</w:t>
      </w:r>
      <w:r w:rsidR="00501561">
        <w:rPr>
          <w:rFonts w:cs="Simplified Arabic" w:hint="cs"/>
          <w:color w:val="000000" w:themeColor="text1"/>
          <w:rtl/>
        </w:rPr>
        <w:t>%</w:t>
      </w:r>
      <w:r w:rsidR="00F21B91">
        <w:rPr>
          <w:rFonts w:cs="Simplified Arabic" w:hint="cs"/>
          <w:color w:val="000000" w:themeColor="text1"/>
          <w:rtl/>
        </w:rPr>
        <w:t xml:space="preserve">، أي أن هذه الأصناف الثلاثة تشكل 21.6% من فاتورة الواردات. </w:t>
      </w:r>
      <w:r>
        <w:rPr>
          <w:rFonts w:cs="Simplified Arabic" w:hint="cs"/>
          <w:color w:val="000000" w:themeColor="text1"/>
          <w:rtl/>
        </w:rPr>
        <w:t>أما أبرز عشر سلع تم تصديرها إلى الخارج من الأراضي الفلسطينية، فقد</w:t>
      </w:r>
      <w:r w:rsidRPr="000A7986">
        <w:rPr>
          <w:rFonts w:cs="Simplified Arabic" w:hint="cs"/>
          <w:color w:val="000000" w:themeColor="text1"/>
          <w:rtl/>
        </w:rPr>
        <w:t xml:space="preserve"> </w:t>
      </w:r>
      <w:r>
        <w:rPr>
          <w:rFonts w:cs="Simplified Arabic" w:hint="cs"/>
          <w:color w:val="000000" w:themeColor="text1"/>
          <w:rtl/>
        </w:rPr>
        <w:t>شكلت</w:t>
      </w:r>
      <w:r w:rsidRPr="00552EAD">
        <w:rPr>
          <w:rFonts w:cs="Simplified Arabic" w:hint="cs"/>
          <w:color w:val="000000" w:themeColor="text1"/>
          <w:rtl/>
        </w:rPr>
        <w:t xml:space="preserve"> ما نسبته </w:t>
      </w:r>
      <w:r>
        <w:rPr>
          <w:rFonts w:cs="Simplified Arabic" w:hint="cs"/>
          <w:color w:val="000000" w:themeColor="text1"/>
          <w:rtl/>
        </w:rPr>
        <w:t>40.8</w:t>
      </w:r>
      <w:r w:rsidRPr="00552EAD">
        <w:rPr>
          <w:rFonts w:cs="Simplified Arabic" w:hint="cs"/>
          <w:color w:val="000000" w:themeColor="text1"/>
          <w:rtl/>
        </w:rPr>
        <w:t xml:space="preserve">% من إجمالي السلع </w:t>
      </w:r>
      <w:r>
        <w:rPr>
          <w:rFonts w:cs="Simplified Arabic" w:hint="cs"/>
          <w:color w:val="000000" w:themeColor="text1"/>
          <w:rtl/>
        </w:rPr>
        <w:t>المصدرة البالغ عددها</w:t>
      </w:r>
      <w:r w:rsidRPr="00552EAD">
        <w:rPr>
          <w:rFonts w:cs="Simplified Arabic" w:hint="cs"/>
          <w:color w:val="000000" w:themeColor="text1"/>
          <w:rtl/>
        </w:rPr>
        <w:t xml:space="preserve"> </w:t>
      </w:r>
      <w:r>
        <w:rPr>
          <w:rFonts w:cs="Simplified Arabic"/>
          <w:color w:val="000000" w:themeColor="text1"/>
          <w:lang w:eastAsia="en-US"/>
        </w:rPr>
        <w:t>958</w:t>
      </w:r>
      <w:r w:rsidRPr="00552EAD">
        <w:rPr>
          <w:rFonts w:cs="Simplified Arabic"/>
          <w:color w:val="000000" w:themeColor="text1"/>
          <w:rtl/>
        </w:rPr>
        <w:t xml:space="preserve"> </w:t>
      </w:r>
      <w:r w:rsidRPr="00552EAD">
        <w:rPr>
          <w:rFonts w:cs="Simplified Arabic" w:hint="cs"/>
          <w:color w:val="000000" w:themeColor="text1"/>
          <w:rtl/>
        </w:rPr>
        <w:t>سلعة</w:t>
      </w:r>
      <w:r>
        <w:rPr>
          <w:rFonts w:cs="Simplified Arabic" w:hint="cs"/>
          <w:color w:val="000000" w:themeColor="text1"/>
          <w:rtl/>
        </w:rPr>
        <w:t xml:space="preserve">. ويأتي في مقدمة السلع المصدرة، كما يتضح من جدول </w:t>
      </w:r>
      <w:r w:rsidR="00006D99">
        <w:rPr>
          <w:rFonts w:cs="Simplified Arabic" w:hint="cs"/>
          <w:color w:val="000000" w:themeColor="text1"/>
          <w:rtl/>
        </w:rPr>
        <w:t>9</w:t>
      </w:r>
      <w:r>
        <w:rPr>
          <w:rFonts w:cs="Simplified Arabic" w:hint="cs"/>
          <w:color w:val="000000" w:themeColor="text1"/>
          <w:rtl/>
        </w:rPr>
        <w:t xml:space="preserve">، </w:t>
      </w:r>
      <w:r>
        <w:rPr>
          <w:rFonts w:cs="Simplified Arabic" w:hint="cs"/>
          <w:color w:val="000000" w:themeColor="text1"/>
          <w:rtl/>
        </w:rPr>
        <w:lastRenderedPageBreak/>
        <w:t>أحجار البناء التي تمثل 12.3% من إجمالي الصادرات المرصودة، يليها الرخام بنسبة 4.9% والسبائك بنسبة 4.1</w:t>
      </w:r>
      <w:r w:rsidR="00ED202D">
        <w:rPr>
          <w:rFonts w:cs="Simplified Arabic" w:hint="cs"/>
          <w:color w:val="000000" w:themeColor="text1"/>
          <w:rtl/>
        </w:rPr>
        <w:t>%</w:t>
      </w:r>
      <w:r>
        <w:rPr>
          <w:rFonts w:cs="Simplified Arabic" w:hint="cs"/>
          <w:color w:val="000000" w:themeColor="text1"/>
          <w:rtl/>
        </w:rPr>
        <w:t xml:space="preserve"> ثم أكياس النايلون بنسبة 4.0%. </w:t>
      </w:r>
      <w:r w:rsidRPr="008C1850">
        <w:rPr>
          <w:rFonts w:cs="Simplified Arabic" w:hint="cs"/>
          <w:color w:val="000000" w:themeColor="text1"/>
          <w:rtl/>
        </w:rPr>
        <w:t xml:space="preserve"> </w:t>
      </w:r>
    </w:p>
    <w:p w:rsidR="002D0F8E" w:rsidRPr="00165FD2" w:rsidRDefault="002D0F8E">
      <w:pPr>
        <w:rPr>
          <w:rFonts w:cs="Simplified Arabic"/>
          <w:b/>
          <w:bCs/>
          <w:color w:val="000000" w:themeColor="text1"/>
          <w:sz w:val="22"/>
          <w:szCs w:val="22"/>
          <w:rtl/>
        </w:rPr>
      </w:pPr>
    </w:p>
    <w:p w:rsidR="00F63205" w:rsidRPr="00165FD2" w:rsidRDefault="00B45AC2" w:rsidP="009C583A">
      <w:pPr>
        <w:jc w:val="center"/>
        <w:rPr>
          <w:rFonts w:cs="Simplified Arabic"/>
          <w:b/>
          <w:bCs/>
          <w:color w:val="000000" w:themeColor="text1"/>
          <w:sz w:val="22"/>
          <w:szCs w:val="22"/>
          <w:rtl/>
        </w:rPr>
      </w:pPr>
      <w:bookmarkStart w:id="8" w:name="OLE_LINK23"/>
      <w:bookmarkStart w:id="9" w:name="OLE_LINK24"/>
      <w:r w:rsidRPr="00165FD2">
        <w:rPr>
          <w:rFonts w:cs="Simplified Arabic" w:hint="cs"/>
          <w:b/>
          <w:bCs/>
          <w:color w:val="000000" w:themeColor="text1"/>
          <w:sz w:val="22"/>
          <w:szCs w:val="22"/>
          <w:rtl/>
        </w:rPr>
        <w:t>جدول</w:t>
      </w:r>
      <w:r w:rsidR="009C583A">
        <w:rPr>
          <w:rFonts w:cs="Simplified Arabic" w:hint="cs"/>
          <w:b/>
          <w:bCs/>
          <w:color w:val="000000" w:themeColor="text1"/>
          <w:sz w:val="22"/>
          <w:szCs w:val="22"/>
          <w:rtl/>
        </w:rPr>
        <w:t xml:space="preserve"> 8</w:t>
      </w:r>
      <w:r w:rsidRPr="00165FD2">
        <w:rPr>
          <w:rFonts w:cs="Simplified Arabic" w:hint="cs"/>
          <w:b/>
          <w:bCs/>
          <w:color w:val="000000" w:themeColor="text1"/>
          <w:sz w:val="22"/>
          <w:szCs w:val="22"/>
          <w:rtl/>
        </w:rPr>
        <w:t>: أبرز عشر سلع تم استيرادها إلى الأراضي الفلسطينية</w:t>
      </w:r>
      <w:bookmarkEnd w:id="8"/>
      <w:bookmarkEnd w:id="9"/>
      <w:r w:rsidRPr="00165FD2">
        <w:rPr>
          <w:rFonts w:cs="Simplified Arabic" w:hint="cs"/>
          <w:b/>
          <w:bCs/>
          <w:color w:val="000000" w:themeColor="text1"/>
          <w:sz w:val="22"/>
          <w:szCs w:val="22"/>
          <w:rtl/>
        </w:rPr>
        <w:t xml:space="preserve">، </w:t>
      </w:r>
      <w:r w:rsidR="00620F13" w:rsidRPr="00165FD2">
        <w:rPr>
          <w:rFonts w:cs="Simplified Arabic" w:hint="cs"/>
          <w:b/>
          <w:bCs/>
          <w:color w:val="000000" w:themeColor="text1"/>
          <w:sz w:val="22"/>
          <w:szCs w:val="22"/>
          <w:rtl/>
        </w:rPr>
        <w:t>2010</w:t>
      </w:r>
    </w:p>
    <w:p w:rsidR="00F63205" w:rsidRPr="00165FD2" w:rsidRDefault="00B45AC2">
      <w:pPr>
        <w:rPr>
          <w:rFonts w:cs="Simplified Arabic"/>
          <w:color w:val="000000" w:themeColor="text1"/>
          <w:sz w:val="18"/>
          <w:szCs w:val="18"/>
          <w:rtl/>
        </w:rPr>
      </w:pPr>
      <w:bookmarkStart w:id="10" w:name="OLE_LINK9"/>
      <w:bookmarkStart w:id="11" w:name="OLE_LINK10"/>
      <w:r w:rsidRPr="00165FD2">
        <w:rPr>
          <w:rFonts w:cs="Simplified Arabic"/>
          <w:color w:val="000000" w:themeColor="text1"/>
          <w:sz w:val="18"/>
          <w:szCs w:val="18"/>
        </w:rPr>
        <w:t>)</w:t>
      </w:r>
      <w:r w:rsidRPr="00165FD2">
        <w:rPr>
          <w:rFonts w:cs="Simplified Arabic" w:hint="cs"/>
          <w:color w:val="000000" w:themeColor="text1"/>
          <w:sz w:val="18"/>
          <w:szCs w:val="18"/>
          <w:rtl/>
        </w:rPr>
        <w:t>القيمة بالألف دولار أمريكي)</w:t>
      </w:r>
    </w:p>
    <w:tbl>
      <w:tblPr>
        <w:bidiVisual/>
        <w:tblW w:w="8751" w:type="dxa"/>
        <w:tblInd w:w="93" w:type="dxa"/>
        <w:tblBorders>
          <w:top w:val="single" w:sz="4" w:space="0" w:color="auto"/>
          <w:bottom w:val="single" w:sz="4" w:space="0" w:color="auto"/>
        </w:tblBorders>
        <w:tblLook w:val="04A0"/>
      </w:tblPr>
      <w:tblGrid>
        <w:gridCol w:w="4038"/>
        <w:gridCol w:w="2985"/>
        <w:gridCol w:w="1728"/>
      </w:tblGrid>
      <w:tr w:rsidR="00265E1A" w:rsidRPr="00165FD2" w:rsidTr="00283359">
        <w:trPr>
          <w:trHeight w:val="337"/>
        </w:trPr>
        <w:tc>
          <w:tcPr>
            <w:tcW w:w="4038" w:type="dxa"/>
            <w:tcBorders>
              <w:top w:val="single" w:sz="12" w:space="0" w:color="auto"/>
              <w:bottom w:val="single" w:sz="12" w:space="0" w:color="auto"/>
            </w:tcBorders>
            <w:noWrap/>
            <w:vAlign w:val="center"/>
            <w:hideMark/>
          </w:tcPr>
          <w:bookmarkEnd w:id="10"/>
          <w:bookmarkEnd w:id="11"/>
          <w:p w:rsidR="00265E1A" w:rsidRPr="00FB36FA" w:rsidRDefault="00265E1A">
            <w:pPr>
              <w:jc w:val="both"/>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السلعة</w:t>
            </w:r>
          </w:p>
        </w:tc>
        <w:tc>
          <w:tcPr>
            <w:tcW w:w="2985" w:type="dxa"/>
            <w:tcBorders>
              <w:top w:val="single" w:sz="12" w:space="0" w:color="auto"/>
              <w:bottom w:val="single" w:sz="12" w:space="0" w:color="auto"/>
            </w:tcBorders>
            <w:noWrap/>
            <w:vAlign w:val="center"/>
            <w:hideMark/>
          </w:tcPr>
          <w:p w:rsidR="00265E1A" w:rsidRPr="00FB36FA" w:rsidRDefault="00265E1A">
            <w:pPr>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الأراضي الفلسطينية</w:t>
            </w:r>
          </w:p>
        </w:tc>
        <w:tc>
          <w:tcPr>
            <w:tcW w:w="1728" w:type="dxa"/>
            <w:tcBorders>
              <w:top w:val="single" w:sz="12" w:space="0" w:color="auto"/>
              <w:bottom w:val="single" w:sz="12" w:space="0" w:color="auto"/>
            </w:tcBorders>
            <w:noWrap/>
            <w:vAlign w:val="center"/>
            <w:hideMark/>
          </w:tcPr>
          <w:p w:rsidR="00265E1A" w:rsidRPr="00FB36FA" w:rsidRDefault="00265E1A">
            <w:pPr>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النسبة المئوية*</w:t>
            </w:r>
          </w:p>
        </w:tc>
      </w:tr>
      <w:tr w:rsidR="00265E1A" w:rsidRPr="00165FD2" w:rsidTr="00283359">
        <w:trPr>
          <w:trHeight w:val="337"/>
        </w:trPr>
        <w:tc>
          <w:tcPr>
            <w:tcW w:w="4038" w:type="dxa"/>
            <w:tcBorders>
              <w:top w:val="single" w:sz="12" w:space="0" w:color="auto"/>
            </w:tcBorders>
            <w:noWrap/>
            <w:vAlign w:val="center"/>
            <w:hideMark/>
          </w:tcPr>
          <w:p w:rsidR="00265E1A" w:rsidRPr="00FB36FA" w:rsidRDefault="00265E1A">
            <w:pPr>
              <w:rPr>
                <w:rFonts w:ascii="Arial" w:hAnsi="Arial" w:cs="Arial"/>
                <w:color w:val="000000" w:themeColor="text1"/>
                <w:sz w:val="18"/>
                <w:szCs w:val="18"/>
                <w:lang w:eastAsia="en-US"/>
              </w:rPr>
            </w:pPr>
            <w:bookmarkStart w:id="12" w:name="_Hlk318019268"/>
            <w:r w:rsidRPr="00FB36FA">
              <w:rPr>
                <w:rFonts w:ascii="Arial" w:hAnsi="Arial" w:cs="Arial"/>
                <w:color w:val="000000" w:themeColor="text1"/>
                <w:sz w:val="18"/>
                <w:szCs w:val="18"/>
                <w:rtl/>
                <w:lang w:eastAsia="en-US"/>
              </w:rPr>
              <w:t>زيت الوقود مازوت (</w:t>
            </w:r>
            <w:proofErr w:type="spellStart"/>
            <w:r w:rsidRPr="00FB36FA">
              <w:rPr>
                <w:rFonts w:ascii="Arial" w:hAnsi="Arial" w:cs="Arial"/>
                <w:color w:val="000000" w:themeColor="text1"/>
                <w:sz w:val="18"/>
                <w:szCs w:val="18"/>
                <w:rtl/>
                <w:lang w:eastAsia="en-US"/>
              </w:rPr>
              <w:t>ديزل)</w:t>
            </w:r>
            <w:proofErr w:type="spellEnd"/>
          </w:p>
        </w:tc>
        <w:tc>
          <w:tcPr>
            <w:tcW w:w="2985" w:type="dxa"/>
            <w:tcBorders>
              <w:top w:val="single" w:sz="12" w:space="0" w:color="auto"/>
            </w:tcBorders>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426</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923</w:t>
            </w:r>
          </w:p>
        </w:tc>
        <w:tc>
          <w:tcPr>
            <w:tcW w:w="1728" w:type="dxa"/>
            <w:tcBorders>
              <w:top w:val="single" w:sz="12" w:space="0" w:color="auto"/>
            </w:tcBorders>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10.8</w:t>
            </w:r>
          </w:p>
        </w:tc>
      </w:tr>
      <w:tr w:rsidR="00265E1A" w:rsidRPr="00165FD2" w:rsidTr="00283359">
        <w:trPr>
          <w:trHeight w:val="337"/>
        </w:trPr>
        <w:tc>
          <w:tcPr>
            <w:tcW w:w="4038" w:type="dxa"/>
            <w:noWrap/>
            <w:vAlign w:val="center"/>
            <w:hideMark/>
          </w:tcPr>
          <w:p w:rsidR="00265E1A" w:rsidRPr="00FB36FA" w:rsidRDefault="005071E0">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غاز طبيعي</w:t>
            </w:r>
          </w:p>
        </w:tc>
        <w:tc>
          <w:tcPr>
            <w:tcW w:w="2985" w:type="dxa"/>
            <w:noWrap/>
            <w:vAlign w:val="center"/>
            <w:hideMark/>
          </w:tcPr>
          <w:p w:rsidR="00265E1A" w:rsidRPr="00FB36FA" w:rsidRDefault="005071E0" w:rsidP="00B6273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219</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61</w:t>
            </w:r>
            <w:r w:rsidR="00B6273A">
              <w:rPr>
                <w:rFonts w:ascii="Arial" w:hAnsi="Arial" w:cs="Arial" w:hint="cs"/>
                <w:color w:val="000000" w:themeColor="text1"/>
                <w:sz w:val="18"/>
                <w:szCs w:val="18"/>
                <w:rtl/>
                <w:lang w:eastAsia="en-US"/>
              </w:rPr>
              <w:t>8</w:t>
            </w:r>
          </w:p>
        </w:tc>
        <w:tc>
          <w:tcPr>
            <w:tcW w:w="1728"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5.5</w:t>
            </w:r>
          </w:p>
        </w:tc>
      </w:tr>
      <w:tr w:rsidR="00265E1A" w:rsidRPr="00165FD2" w:rsidTr="00283359">
        <w:trPr>
          <w:trHeight w:val="337"/>
        </w:trPr>
        <w:tc>
          <w:tcPr>
            <w:tcW w:w="4038" w:type="dxa"/>
            <w:noWrap/>
            <w:vAlign w:val="center"/>
            <w:hideMark/>
          </w:tcPr>
          <w:p w:rsidR="00265E1A" w:rsidRPr="00FB36FA" w:rsidRDefault="005071E0">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بنزين (جازولين)</w:t>
            </w:r>
          </w:p>
        </w:tc>
        <w:tc>
          <w:tcPr>
            <w:tcW w:w="2985" w:type="dxa"/>
            <w:noWrap/>
            <w:vAlign w:val="center"/>
            <w:hideMark/>
          </w:tcPr>
          <w:p w:rsidR="00265E1A" w:rsidRPr="00FB36FA" w:rsidRDefault="005071E0" w:rsidP="00B6273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210</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61</w:t>
            </w:r>
            <w:r w:rsidR="00B6273A">
              <w:rPr>
                <w:rFonts w:ascii="Arial" w:hAnsi="Arial" w:cs="Arial" w:hint="cs"/>
                <w:color w:val="000000" w:themeColor="text1"/>
                <w:sz w:val="18"/>
                <w:szCs w:val="18"/>
                <w:rtl/>
                <w:lang w:eastAsia="en-US"/>
              </w:rPr>
              <w:t>6</w:t>
            </w:r>
          </w:p>
        </w:tc>
        <w:tc>
          <w:tcPr>
            <w:tcW w:w="1728"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5.3</w:t>
            </w:r>
          </w:p>
        </w:tc>
      </w:tr>
      <w:tr w:rsidR="00265E1A" w:rsidRPr="00165FD2" w:rsidTr="00283359">
        <w:trPr>
          <w:trHeight w:val="337"/>
        </w:trPr>
        <w:tc>
          <w:tcPr>
            <w:tcW w:w="4038" w:type="dxa"/>
            <w:noWrap/>
            <w:vAlign w:val="center"/>
            <w:hideMark/>
          </w:tcPr>
          <w:p w:rsidR="00265E1A" w:rsidRPr="00FB36FA" w:rsidRDefault="00265E1A">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اسمنت</w:t>
            </w:r>
          </w:p>
        </w:tc>
        <w:tc>
          <w:tcPr>
            <w:tcW w:w="2985" w:type="dxa"/>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111</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lang w:eastAsia="en-US"/>
              </w:rPr>
              <w:t>746</w:t>
            </w:r>
          </w:p>
        </w:tc>
        <w:tc>
          <w:tcPr>
            <w:tcW w:w="1728" w:type="dxa"/>
            <w:noWrap/>
            <w:vAlign w:val="center"/>
            <w:hideMark/>
          </w:tcPr>
          <w:p w:rsidR="00265E1A" w:rsidRPr="00FB36FA" w:rsidRDefault="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2.8</w:t>
            </w:r>
          </w:p>
        </w:tc>
      </w:tr>
      <w:tr w:rsidR="00265E1A" w:rsidRPr="00165FD2" w:rsidTr="00283359">
        <w:trPr>
          <w:trHeight w:val="337"/>
        </w:trPr>
        <w:tc>
          <w:tcPr>
            <w:tcW w:w="4038" w:type="dxa"/>
            <w:noWrap/>
            <w:vAlign w:val="center"/>
            <w:hideMark/>
          </w:tcPr>
          <w:p w:rsidR="00265E1A" w:rsidRPr="00FB36FA" w:rsidRDefault="005F4C17">
            <w:pPr>
              <w:rPr>
                <w:rFonts w:ascii="Arial" w:hAnsi="Arial" w:cs="Arial"/>
                <w:color w:val="000000" w:themeColor="text1"/>
                <w:sz w:val="18"/>
                <w:szCs w:val="18"/>
                <w:rtl/>
                <w:lang w:eastAsia="en-US"/>
              </w:rPr>
            </w:pPr>
            <w:r w:rsidRPr="00FB36FA">
              <w:rPr>
                <w:rFonts w:ascii="Arial" w:hAnsi="Arial" w:cs="Arial"/>
                <w:color w:val="000000" w:themeColor="text1"/>
                <w:sz w:val="18"/>
                <w:szCs w:val="18"/>
                <w:rtl/>
                <w:lang w:eastAsia="en-US"/>
              </w:rPr>
              <w:t xml:space="preserve">رخام </w:t>
            </w:r>
            <w:proofErr w:type="spellStart"/>
            <w:r w:rsidRPr="00FB36FA">
              <w:rPr>
                <w:rFonts w:ascii="Arial" w:hAnsi="Arial" w:cs="Arial"/>
                <w:color w:val="000000" w:themeColor="text1"/>
                <w:sz w:val="18"/>
                <w:szCs w:val="18"/>
                <w:rtl/>
                <w:lang w:eastAsia="en-US"/>
              </w:rPr>
              <w:t>وترافر</w:t>
            </w:r>
            <w:r w:rsidR="00620F13" w:rsidRPr="00FB36FA">
              <w:rPr>
                <w:rFonts w:ascii="Arial" w:hAnsi="Arial" w:cs="Arial"/>
                <w:color w:val="000000" w:themeColor="text1"/>
                <w:sz w:val="18"/>
                <w:szCs w:val="18"/>
                <w:rtl/>
                <w:lang w:eastAsia="en-US"/>
              </w:rPr>
              <w:t>تين</w:t>
            </w:r>
            <w:proofErr w:type="spellEnd"/>
            <w:r w:rsidR="00620F13" w:rsidRPr="00FB36FA">
              <w:rPr>
                <w:rFonts w:ascii="Arial" w:hAnsi="Arial" w:cs="Arial"/>
                <w:color w:val="000000" w:themeColor="text1"/>
                <w:sz w:val="18"/>
                <w:szCs w:val="18"/>
                <w:rtl/>
                <w:lang w:eastAsia="en-US"/>
              </w:rPr>
              <w:t xml:space="preserve"> ومرمر</w:t>
            </w:r>
          </w:p>
        </w:tc>
        <w:tc>
          <w:tcPr>
            <w:tcW w:w="2985" w:type="dxa"/>
            <w:noWrap/>
            <w:vAlign w:val="center"/>
            <w:hideMark/>
          </w:tcPr>
          <w:p w:rsidR="00265E1A" w:rsidRPr="00FB36FA" w:rsidRDefault="00620F13" w:rsidP="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67</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725</w:t>
            </w:r>
          </w:p>
        </w:tc>
        <w:tc>
          <w:tcPr>
            <w:tcW w:w="1728" w:type="dxa"/>
            <w:noWrap/>
            <w:vAlign w:val="center"/>
            <w:hideMark/>
          </w:tcPr>
          <w:p w:rsidR="00265E1A" w:rsidRPr="00FB36FA" w:rsidRDefault="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1.7</w:t>
            </w:r>
          </w:p>
        </w:tc>
      </w:tr>
      <w:tr w:rsidR="00265E1A" w:rsidRPr="00165FD2" w:rsidTr="00283359">
        <w:trPr>
          <w:trHeight w:val="337"/>
        </w:trPr>
        <w:tc>
          <w:tcPr>
            <w:tcW w:w="4038" w:type="dxa"/>
            <w:noWrap/>
            <w:vAlign w:val="center"/>
            <w:hideMark/>
          </w:tcPr>
          <w:p w:rsidR="00265E1A" w:rsidRPr="00FB36FA" w:rsidRDefault="00620F13">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أعلاف</w:t>
            </w:r>
          </w:p>
        </w:tc>
        <w:tc>
          <w:tcPr>
            <w:tcW w:w="2985" w:type="dxa"/>
            <w:noWrap/>
            <w:vAlign w:val="center"/>
            <w:hideMark/>
          </w:tcPr>
          <w:p w:rsidR="00265E1A" w:rsidRPr="00FB36FA" w:rsidRDefault="00620F13" w:rsidP="00B6273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66</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lang w:eastAsia="en-US"/>
              </w:rPr>
              <w:t>60</w:t>
            </w:r>
            <w:r w:rsidR="00B6273A">
              <w:rPr>
                <w:rFonts w:ascii="Arial" w:hAnsi="Arial" w:cs="Arial" w:hint="cs"/>
                <w:color w:val="000000" w:themeColor="text1"/>
                <w:sz w:val="18"/>
                <w:szCs w:val="18"/>
                <w:rtl/>
                <w:lang w:eastAsia="en-US"/>
              </w:rPr>
              <w:t>6</w:t>
            </w:r>
          </w:p>
        </w:tc>
        <w:tc>
          <w:tcPr>
            <w:tcW w:w="1728" w:type="dxa"/>
            <w:noWrap/>
            <w:vAlign w:val="center"/>
            <w:hideMark/>
          </w:tcPr>
          <w:p w:rsidR="00265E1A" w:rsidRPr="00FB36FA" w:rsidRDefault="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1.7</w:t>
            </w:r>
          </w:p>
        </w:tc>
      </w:tr>
      <w:tr w:rsidR="00265E1A" w:rsidRPr="00165FD2" w:rsidTr="00283359">
        <w:trPr>
          <w:trHeight w:val="337"/>
        </w:trPr>
        <w:tc>
          <w:tcPr>
            <w:tcW w:w="4038" w:type="dxa"/>
            <w:noWrap/>
            <w:vAlign w:val="center"/>
            <w:hideMark/>
          </w:tcPr>
          <w:p w:rsidR="00265E1A" w:rsidRPr="00FB36FA" w:rsidRDefault="005414F0">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لفائف عادية (سجائر) محتوية على تبغ</w:t>
            </w:r>
          </w:p>
        </w:tc>
        <w:tc>
          <w:tcPr>
            <w:tcW w:w="2985" w:type="dxa"/>
            <w:noWrap/>
            <w:vAlign w:val="center"/>
            <w:hideMark/>
          </w:tcPr>
          <w:p w:rsidR="00265E1A" w:rsidRPr="00FB36FA" w:rsidRDefault="00620F13" w:rsidP="00B6273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54</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25</w:t>
            </w:r>
            <w:r w:rsidR="00B6273A">
              <w:rPr>
                <w:rFonts w:ascii="Arial" w:hAnsi="Arial" w:cs="Arial" w:hint="cs"/>
                <w:color w:val="000000" w:themeColor="text1"/>
                <w:sz w:val="18"/>
                <w:szCs w:val="18"/>
                <w:rtl/>
                <w:lang w:eastAsia="en-US"/>
              </w:rPr>
              <w:t>9</w:t>
            </w:r>
          </w:p>
        </w:tc>
        <w:tc>
          <w:tcPr>
            <w:tcW w:w="1728" w:type="dxa"/>
            <w:noWrap/>
            <w:vAlign w:val="center"/>
            <w:hideMark/>
          </w:tcPr>
          <w:p w:rsidR="00265E1A" w:rsidRPr="00FB36FA" w:rsidRDefault="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1.4</w:t>
            </w:r>
          </w:p>
        </w:tc>
      </w:tr>
      <w:tr w:rsidR="00265E1A" w:rsidRPr="00165FD2" w:rsidTr="00283359">
        <w:trPr>
          <w:trHeight w:val="337"/>
        </w:trPr>
        <w:tc>
          <w:tcPr>
            <w:tcW w:w="4038" w:type="dxa"/>
            <w:noWrap/>
            <w:vAlign w:val="center"/>
            <w:hideMark/>
          </w:tcPr>
          <w:p w:rsidR="00265E1A" w:rsidRPr="00FB36FA" w:rsidRDefault="005414F0">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مشروبات خفيفة</w:t>
            </w:r>
          </w:p>
        </w:tc>
        <w:tc>
          <w:tcPr>
            <w:tcW w:w="2985" w:type="dxa"/>
            <w:noWrap/>
            <w:vAlign w:val="center"/>
            <w:hideMark/>
          </w:tcPr>
          <w:p w:rsidR="00265E1A" w:rsidRPr="00FB36FA" w:rsidRDefault="00265E1A" w:rsidP="00B6273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3</w:t>
            </w:r>
            <w:r w:rsidR="00620F13" w:rsidRPr="00FB36FA">
              <w:rPr>
                <w:rFonts w:ascii="Arial" w:hAnsi="Arial" w:cs="Arial"/>
                <w:color w:val="000000" w:themeColor="text1"/>
                <w:sz w:val="18"/>
                <w:szCs w:val="18"/>
                <w:rtl/>
                <w:lang w:eastAsia="en-US"/>
              </w:rPr>
              <w:t>9</w:t>
            </w:r>
            <w:r w:rsidRPr="00FB36FA">
              <w:rPr>
                <w:rFonts w:ascii="Arial" w:hAnsi="Arial" w:cs="Arial"/>
                <w:color w:val="000000" w:themeColor="text1"/>
                <w:sz w:val="18"/>
                <w:szCs w:val="18"/>
                <w:lang w:eastAsia="en-US"/>
              </w:rPr>
              <w:t>,</w:t>
            </w:r>
            <w:r w:rsidR="00620F13" w:rsidRPr="00FB36FA">
              <w:rPr>
                <w:rFonts w:ascii="Arial" w:hAnsi="Arial" w:cs="Arial"/>
                <w:color w:val="000000" w:themeColor="text1"/>
                <w:sz w:val="18"/>
                <w:szCs w:val="18"/>
                <w:rtl/>
                <w:lang w:eastAsia="en-US"/>
              </w:rPr>
              <w:t>74</w:t>
            </w:r>
            <w:r w:rsidR="00B6273A">
              <w:rPr>
                <w:rFonts w:ascii="Arial" w:hAnsi="Arial" w:cs="Arial" w:hint="cs"/>
                <w:color w:val="000000" w:themeColor="text1"/>
                <w:sz w:val="18"/>
                <w:szCs w:val="18"/>
                <w:rtl/>
                <w:lang w:eastAsia="en-US"/>
              </w:rPr>
              <w:t>2</w:t>
            </w:r>
          </w:p>
        </w:tc>
        <w:tc>
          <w:tcPr>
            <w:tcW w:w="1728" w:type="dxa"/>
            <w:noWrap/>
            <w:vAlign w:val="center"/>
            <w:hideMark/>
          </w:tcPr>
          <w:p w:rsidR="00265E1A" w:rsidRPr="00FB36FA" w:rsidRDefault="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1.0</w:t>
            </w:r>
          </w:p>
        </w:tc>
      </w:tr>
      <w:tr w:rsidR="00265E1A" w:rsidRPr="00165FD2" w:rsidTr="00283359">
        <w:trPr>
          <w:trHeight w:val="337"/>
        </w:trPr>
        <w:tc>
          <w:tcPr>
            <w:tcW w:w="4038" w:type="dxa"/>
            <w:noWrap/>
            <w:vAlign w:val="center"/>
            <w:hideMark/>
          </w:tcPr>
          <w:p w:rsidR="00265E1A" w:rsidRPr="00FB36FA" w:rsidRDefault="00792071" w:rsidP="005C38EF">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قضبان حديد</w:t>
            </w:r>
          </w:p>
        </w:tc>
        <w:tc>
          <w:tcPr>
            <w:tcW w:w="2985" w:type="dxa"/>
            <w:noWrap/>
            <w:vAlign w:val="center"/>
            <w:hideMark/>
          </w:tcPr>
          <w:p w:rsidR="00265E1A" w:rsidRPr="00FB36FA" w:rsidRDefault="00265E1A" w:rsidP="00620F13">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3</w:t>
            </w:r>
            <w:r w:rsidR="00620F13" w:rsidRPr="00FB36FA">
              <w:rPr>
                <w:rFonts w:ascii="Arial" w:hAnsi="Arial" w:cs="Arial"/>
                <w:color w:val="000000" w:themeColor="text1"/>
                <w:sz w:val="18"/>
                <w:szCs w:val="18"/>
                <w:rtl/>
                <w:lang w:eastAsia="en-US"/>
              </w:rPr>
              <w:t>9</w:t>
            </w:r>
            <w:r w:rsidRPr="00FB36FA">
              <w:rPr>
                <w:rFonts w:ascii="Arial" w:hAnsi="Arial" w:cs="Arial"/>
                <w:color w:val="000000" w:themeColor="text1"/>
                <w:sz w:val="18"/>
                <w:szCs w:val="18"/>
                <w:lang w:eastAsia="en-US"/>
              </w:rPr>
              <w:t>,</w:t>
            </w:r>
            <w:r w:rsidR="00620F13" w:rsidRPr="00FB36FA">
              <w:rPr>
                <w:rFonts w:ascii="Arial" w:hAnsi="Arial" w:cs="Arial"/>
                <w:color w:val="000000" w:themeColor="text1"/>
                <w:sz w:val="18"/>
                <w:szCs w:val="18"/>
                <w:rtl/>
                <w:lang w:eastAsia="en-US"/>
              </w:rPr>
              <w:t>534</w:t>
            </w:r>
          </w:p>
        </w:tc>
        <w:tc>
          <w:tcPr>
            <w:tcW w:w="1728" w:type="dxa"/>
            <w:noWrap/>
            <w:vAlign w:val="center"/>
            <w:hideMark/>
          </w:tcPr>
          <w:p w:rsidR="00265E1A" w:rsidRPr="00FB36FA" w:rsidRDefault="00265E1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1.0</w:t>
            </w:r>
          </w:p>
        </w:tc>
      </w:tr>
      <w:tr w:rsidR="00265E1A" w:rsidRPr="00165FD2" w:rsidTr="00283359">
        <w:trPr>
          <w:trHeight w:val="337"/>
        </w:trPr>
        <w:tc>
          <w:tcPr>
            <w:tcW w:w="4038" w:type="dxa"/>
            <w:noWrap/>
            <w:vAlign w:val="center"/>
            <w:hideMark/>
          </w:tcPr>
          <w:p w:rsidR="00265E1A" w:rsidRPr="00FB36FA" w:rsidRDefault="005414F0">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عجول</w:t>
            </w:r>
          </w:p>
        </w:tc>
        <w:tc>
          <w:tcPr>
            <w:tcW w:w="2985" w:type="dxa"/>
            <w:noWrap/>
            <w:vAlign w:val="center"/>
            <w:hideMark/>
          </w:tcPr>
          <w:p w:rsidR="00265E1A" w:rsidRPr="00FB36FA" w:rsidRDefault="00265E1A" w:rsidP="00B6273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3</w:t>
            </w:r>
            <w:r w:rsidR="00620F13" w:rsidRPr="00FB36FA">
              <w:rPr>
                <w:rFonts w:ascii="Arial" w:hAnsi="Arial" w:cs="Arial"/>
                <w:color w:val="000000" w:themeColor="text1"/>
                <w:sz w:val="18"/>
                <w:szCs w:val="18"/>
                <w:rtl/>
                <w:lang w:eastAsia="en-US"/>
              </w:rPr>
              <w:t>8</w:t>
            </w:r>
            <w:r w:rsidRPr="00FB36FA">
              <w:rPr>
                <w:rFonts w:ascii="Arial" w:hAnsi="Arial" w:cs="Arial"/>
                <w:color w:val="000000" w:themeColor="text1"/>
                <w:sz w:val="18"/>
                <w:szCs w:val="18"/>
                <w:lang w:eastAsia="en-US"/>
              </w:rPr>
              <w:t>,</w:t>
            </w:r>
            <w:r w:rsidR="00620F13" w:rsidRPr="00FB36FA">
              <w:rPr>
                <w:rFonts w:ascii="Arial" w:hAnsi="Arial" w:cs="Arial"/>
                <w:color w:val="000000" w:themeColor="text1"/>
                <w:sz w:val="18"/>
                <w:szCs w:val="18"/>
                <w:rtl/>
                <w:lang w:eastAsia="en-US"/>
              </w:rPr>
              <w:t>54</w:t>
            </w:r>
            <w:r w:rsidR="00B6273A">
              <w:rPr>
                <w:rFonts w:ascii="Arial" w:hAnsi="Arial" w:cs="Arial" w:hint="cs"/>
                <w:color w:val="000000" w:themeColor="text1"/>
                <w:sz w:val="18"/>
                <w:szCs w:val="18"/>
                <w:rtl/>
                <w:lang w:eastAsia="en-US"/>
              </w:rPr>
              <w:t>1</w:t>
            </w:r>
          </w:p>
        </w:tc>
        <w:tc>
          <w:tcPr>
            <w:tcW w:w="1728" w:type="dxa"/>
            <w:noWrap/>
            <w:vAlign w:val="center"/>
            <w:hideMark/>
          </w:tcPr>
          <w:p w:rsidR="00265E1A" w:rsidRPr="00FB36FA" w:rsidRDefault="00265E1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1.0</w:t>
            </w:r>
          </w:p>
        </w:tc>
      </w:tr>
      <w:bookmarkEnd w:id="12"/>
      <w:tr w:rsidR="00265E1A" w:rsidRPr="00165FD2" w:rsidTr="00283359">
        <w:trPr>
          <w:trHeight w:val="337"/>
        </w:trPr>
        <w:tc>
          <w:tcPr>
            <w:tcW w:w="4038" w:type="dxa"/>
            <w:tcBorders>
              <w:bottom w:val="single" w:sz="12" w:space="0" w:color="auto"/>
            </w:tcBorders>
            <w:noWrap/>
            <w:vAlign w:val="center"/>
            <w:hideMark/>
          </w:tcPr>
          <w:p w:rsidR="00265E1A" w:rsidRPr="00FB36FA" w:rsidRDefault="00265E1A">
            <w:pPr>
              <w:bidi w:val="0"/>
              <w:jc w:val="right"/>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المجموع</w:t>
            </w:r>
          </w:p>
        </w:tc>
        <w:tc>
          <w:tcPr>
            <w:tcW w:w="2985" w:type="dxa"/>
            <w:tcBorders>
              <w:bottom w:val="single" w:sz="12" w:space="0" w:color="auto"/>
            </w:tcBorders>
            <w:noWrap/>
            <w:vAlign w:val="center"/>
            <w:hideMark/>
          </w:tcPr>
          <w:p w:rsidR="00265E1A" w:rsidRPr="00FB36FA" w:rsidRDefault="00265E1A" w:rsidP="00B6273A">
            <w:pPr>
              <w:bidi w:val="0"/>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lang w:eastAsia="en-US"/>
              </w:rPr>
              <w:t>1,</w:t>
            </w:r>
            <w:r w:rsidR="00620F13" w:rsidRPr="00FB36FA">
              <w:rPr>
                <w:rFonts w:ascii="Arial" w:hAnsi="Arial" w:cs="Arial"/>
                <w:b/>
                <w:bCs/>
                <w:color w:val="000000" w:themeColor="text1"/>
                <w:sz w:val="18"/>
                <w:szCs w:val="18"/>
                <w:lang w:eastAsia="en-US"/>
              </w:rPr>
              <w:t>275</w:t>
            </w:r>
            <w:r w:rsidRPr="00FB36FA">
              <w:rPr>
                <w:rFonts w:ascii="Arial" w:hAnsi="Arial" w:cs="Arial"/>
                <w:b/>
                <w:bCs/>
                <w:color w:val="000000" w:themeColor="text1"/>
                <w:sz w:val="18"/>
                <w:szCs w:val="18"/>
                <w:lang w:eastAsia="en-US"/>
              </w:rPr>
              <w:t>,</w:t>
            </w:r>
            <w:r w:rsidR="00620F13" w:rsidRPr="00FB36FA">
              <w:rPr>
                <w:rFonts w:ascii="Arial" w:hAnsi="Arial" w:cs="Arial"/>
                <w:b/>
                <w:bCs/>
                <w:color w:val="000000" w:themeColor="text1"/>
                <w:sz w:val="18"/>
                <w:szCs w:val="18"/>
                <w:lang w:eastAsia="en-US"/>
              </w:rPr>
              <w:t>30</w:t>
            </w:r>
            <w:r w:rsidR="00B6273A">
              <w:rPr>
                <w:rFonts w:ascii="Arial" w:hAnsi="Arial" w:cs="Arial" w:hint="cs"/>
                <w:b/>
                <w:bCs/>
                <w:color w:val="000000" w:themeColor="text1"/>
                <w:sz w:val="18"/>
                <w:szCs w:val="18"/>
                <w:rtl/>
                <w:lang w:eastAsia="en-US"/>
              </w:rPr>
              <w:t>9</w:t>
            </w:r>
          </w:p>
        </w:tc>
        <w:tc>
          <w:tcPr>
            <w:tcW w:w="1728" w:type="dxa"/>
            <w:tcBorders>
              <w:bottom w:val="single" w:sz="12" w:space="0" w:color="auto"/>
            </w:tcBorders>
            <w:noWrap/>
            <w:vAlign w:val="center"/>
            <w:hideMark/>
          </w:tcPr>
          <w:p w:rsidR="00265E1A" w:rsidRPr="00FB36FA" w:rsidRDefault="00620F13">
            <w:pPr>
              <w:bidi w:val="0"/>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32.2</w:t>
            </w:r>
          </w:p>
        </w:tc>
      </w:tr>
    </w:tbl>
    <w:p w:rsidR="002D0F8E" w:rsidRPr="002D0F8E" w:rsidRDefault="00B45AC2" w:rsidP="002D0F8E">
      <w:pPr>
        <w:jc w:val="lowKashida"/>
        <w:rPr>
          <w:rFonts w:cs="Simplified Arabic"/>
          <w:color w:val="000000" w:themeColor="text1"/>
          <w:sz w:val="20"/>
          <w:szCs w:val="20"/>
          <w:rtl/>
        </w:rPr>
      </w:pPr>
      <w:r w:rsidRPr="00165FD2">
        <w:rPr>
          <w:rFonts w:cs="Simplified Arabic" w:hint="cs"/>
          <w:color w:val="000000" w:themeColor="text1"/>
          <w:sz w:val="20"/>
          <w:szCs w:val="20"/>
          <w:rtl/>
        </w:rPr>
        <w:t>*</w:t>
      </w:r>
      <w:r w:rsidRPr="00165FD2">
        <w:rPr>
          <w:rFonts w:cs="Simplified Arabic" w:hint="cs"/>
          <w:color w:val="000000" w:themeColor="text1"/>
          <w:sz w:val="18"/>
          <w:szCs w:val="18"/>
          <w:rtl/>
        </w:rPr>
        <w:t>تم احتساب النسبة المئوية لكل سلعة من إجمالي السلع المستوردة  المرصودة إلى الأراضي الفلسطينية</w:t>
      </w:r>
    </w:p>
    <w:p w:rsidR="002D0F8E" w:rsidRDefault="002D0F8E" w:rsidP="002D0F8E">
      <w:pPr>
        <w:jc w:val="both"/>
        <w:rPr>
          <w:rFonts w:cs="Simplified Arabic"/>
          <w:b/>
          <w:bCs/>
          <w:color w:val="000000" w:themeColor="text1"/>
          <w:rtl/>
        </w:rPr>
      </w:pPr>
    </w:p>
    <w:p w:rsidR="00F63205" w:rsidRPr="00165FD2" w:rsidRDefault="00F63205">
      <w:pPr>
        <w:jc w:val="center"/>
        <w:rPr>
          <w:rFonts w:cs="Simplified Arabic"/>
          <w:b/>
          <w:bCs/>
          <w:color w:val="000000" w:themeColor="text1"/>
          <w:sz w:val="22"/>
          <w:szCs w:val="22"/>
          <w:rtl/>
        </w:rPr>
      </w:pPr>
    </w:p>
    <w:p w:rsidR="00F63205" w:rsidRPr="00165FD2" w:rsidRDefault="00B45AC2" w:rsidP="009C583A">
      <w:pPr>
        <w:jc w:val="center"/>
        <w:rPr>
          <w:rFonts w:cs="Simplified Arabic"/>
          <w:b/>
          <w:bCs/>
          <w:color w:val="000000" w:themeColor="text1"/>
          <w:sz w:val="22"/>
          <w:szCs w:val="22"/>
          <w:rtl/>
        </w:rPr>
      </w:pPr>
      <w:r w:rsidRPr="00165FD2">
        <w:rPr>
          <w:rFonts w:cs="Simplified Arabic" w:hint="cs"/>
          <w:b/>
          <w:bCs/>
          <w:color w:val="000000" w:themeColor="text1"/>
          <w:sz w:val="22"/>
          <w:szCs w:val="22"/>
          <w:rtl/>
        </w:rPr>
        <w:t>جدول</w:t>
      </w:r>
      <w:r w:rsidR="009C583A">
        <w:rPr>
          <w:rFonts w:cs="Simplified Arabic" w:hint="cs"/>
          <w:b/>
          <w:bCs/>
          <w:color w:val="000000" w:themeColor="text1"/>
          <w:sz w:val="22"/>
          <w:szCs w:val="22"/>
          <w:rtl/>
        </w:rPr>
        <w:t xml:space="preserve"> 9</w:t>
      </w:r>
      <w:r w:rsidRPr="00165FD2">
        <w:rPr>
          <w:rFonts w:cs="Simplified Arabic" w:hint="cs"/>
          <w:b/>
          <w:bCs/>
          <w:color w:val="000000" w:themeColor="text1"/>
          <w:sz w:val="22"/>
          <w:szCs w:val="22"/>
          <w:rtl/>
        </w:rPr>
        <w:t xml:space="preserve">: أبرز عشر سلع تم تصديرها من الأراضي الفلسطينية، </w:t>
      </w:r>
      <w:r w:rsidR="005071E0" w:rsidRPr="00165FD2">
        <w:rPr>
          <w:rFonts w:cs="Simplified Arabic"/>
          <w:b/>
          <w:bCs/>
          <w:color w:val="000000" w:themeColor="text1"/>
          <w:sz w:val="22"/>
          <w:szCs w:val="22"/>
        </w:rPr>
        <w:t>2010</w:t>
      </w:r>
    </w:p>
    <w:p w:rsidR="00F63205" w:rsidRPr="00165FD2" w:rsidRDefault="00B45AC2">
      <w:pPr>
        <w:rPr>
          <w:rFonts w:cs="Simplified Arabic"/>
          <w:color w:val="000000" w:themeColor="text1"/>
          <w:sz w:val="18"/>
          <w:szCs w:val="18"/>
          <w:rtl/>
        </w:rPr>
      </w:pPr>
      <w:r w:rsidRPr="00165FD2">
        <w:rPr>
          <w:rFonts w:cs="Simplified Arabic"/>
          <w:color w:val="000000" w:themeColor="text1"/>
          <w:sz w:val="18"/>
          <w:szCs w:val="18"/>
        </w:rPr>
        <w:t>)</w:t>
      </w:r>
      <w:r w:rsidRPr="00165FD2">
        <w:rPr>
          <w:rFonts w:cs="Simplified Arabic" w:hint="cs"/>
          <w:color w:val="000000" w:themeColor="text1"/>
          <w:sz w:val="18"/>
          <w:szCs w:val="18"/>
          <w:rtl/>
        </w:rPr>
        <w:t>القيمة بالألف دولار أمريكي)</w:t>
      </w:r>
    </w:p>
    <w:tbl>
      <w:tblPr>
        <w:bidiVisual/>
        <w:tblW w:w="8654" w:type="dxa"/>
        <w:tblInd w:w="93" w:type="dxa"/>
        <w:tblBorders>
          <w:top w:val="single" w:sz="12" w:space="0" w:color="auto"/>
          <w:bottom w:val="single" w:sz="12" w:space="0" w:color="auto"/>
        </w:tblBorders>
        <w:tblLook w:val="04A0"/>
      </w:tblPr>
      <w:tblGrid>
        <w:gridCol w:w="5050"/>
        <w:gridCol w:w="1802"/>
        <w:gridCol w:w="1802"/>
      </w:tblGrid>
      <w:tr w:rsidR="00265E1A" w:rsidRPr="00165FD2" w:rsidTr="00283359">
        <w:trPr>
          <w:trHeight w:val="351"/>
        </w:trPr>
        <w:tc>
          <w:tcPr>
            <w:tcW w:w="5050" w:type="dxa"/>
            <w:tcBorders>
              <w:top w:val="single" w:sz="12" w:space="0" w:color="auto"/>
              <w:bottom w:val="single" w:sz="12" w:space="0" w:color="auto"/>
            </w:tcBorders>
            <w:noWrap/>
            <w:vAlign w:val="center"/>
            <w:hideMark/>
          </w:tcPr>
          <w:p w:rsidR="00265E1A" w:rsidRPr="00FB36FA" w:rsidRDefault="00265E1A">
            <w:pP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السلعة</w:t>
            </w:r>
          </w:p>
        </w:tc>
        <w:tc>
          <w:tcPr>
            <w:tcW w:w="1802" w:type="dxa"/>
            <w:tcBorders>
              <w:top w:val="single" w:sz="12" w:space="0" w:color="auto"/>
              <w:bottom w:val="single" w:sz="12" w:space="0" w:color="auto"/>
            </w:tcBorders>
            <w:noWrap/>
            <w:vAlign w:val="center"/>
            <w:hideMark/>
          </w:tcPr>
          <w:p w:rsidR="00265E1A" w:rsidRPr="00FB36FA" w:rsidRDefault="00265E1A">
            <w:pPr>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الأراضي الفلسطينية</w:t>
            </w:r>
          </w:p>
        </w:tc>
        <w:tc>
          <w:tcPr>
            <w:tcW w:w="1802" w:type="dxa"/>
            <w:tcBorders>
              <w:top w:val="single" w:sz="12" w:space="0" w:color="auto"/>
              <w:bottom w:val="single" w:sz="12" w:space="0" w:color="auto"/>
            </w:tcBorders>
            <w:noWrap/>
            <w:vAlign w:val="center"/>
            <w:hideMark/>
          </w:tcPr>
          <w:p w:rsidR="00265E1A" w:rsidRPr="00FB36FA" w:rsidRDefault="00265E1A">
            <w:pPr>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النسبة المئوية*</w:t>
            </w:r>
          </w:p>
        </w:tc>
      </w:tr>
      <w:tr w:rsidR="00265E1A" w:rsidRPr="00165FD2" w:rsidTr="00283359">
        <w:trPr>
          <w:trHeight w:val="351"/>
        </w:trPr>
        <w:tc>
          <w:tcPr>
            <w:tcW w:w="5050" w:type="dxa"/>
            <w:tcBorders>
              <w:top w:val="single" w:sz="12" w:space="0" w:color="auto"/>
            </w:tcBorders>
            <w:noWrap/>
            <w:vAlign w:val="center"/>
            <w:hideMark/>
          </w:tcPr>
          <w:p w:rsidR="00265E1A" w:rsidRPr="00FB36FA" w:rsidRDefault="00265E1A">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أحجار بناء</w:t>
            </w:r>
          </w:p>
        </w:tc>
        <w:tc>
          <w:tcPr>
            <w:tcW w:w="1802" w:type="dxa"/>
            <w:tcBorders>
              <w:top w:val="single" w:sz="12" w:space="0" w:color="auto"/>
            </w:tcBorders>
            <w:noWrap/>
            <w:vAlign w:val="center"/>
            <w:hideMark/>
          </w:tcPr>
          <w:p w:rsidR="00265E1A" w:rsidRPr="00FB36FA" w:rsidRDefault="00187B01" w:rsidP="00187B01">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70</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lang w:eastAsia="en-US"/>
              </w:rPr>
              <w:t>621</w:t>
            </w:r>
          </w:p>
        </w:tc>
        <w:tc>
          <w:tcPr>
            <w:tcW w:w="1802" w:type="dxa"/>
            <w:tcBorders>
              <w:top w:val="single" w:sz="12" w:space="0" w:color="auto"/>
            </w:tcBorders>
            <w:noWrap/>
            <w:vAlign w:val="center"/>
            <w:hideMark/>
          </w:tcPr>
          <w:p w:rsidR="00265E1A" w:rsidRPr="00FB36FA" w:rsidRDefault="00187B01">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12</w:t>
            </w:r>
            <w:r w:rsidR="00265E1A" w:rsidRPr="00FB36FA">
              <w:rPr>
                <w:rFonts w:ascii="Arial" w:hAnsi="Arial" w:cs="Arial"/>
                <w:color w:val="000000" w:themeColor="text1"/>
                <w:sz w:val="18"/>
                <w:szCs w:val="18"/>
                <w:lang w:eastAsia="en-US"/>
              </w:rPr>
              <w:t>.3</w:t>
            </w:r>
          </w:p>
        </w:tc>
      </w:tr>
      <w:tr w:rsidR="00265E1A" w:rsidRPr="00165FD2" w:rsidTr="00283359">
        <w:trPr>
          <w:trHeight w:val="351"/>
        </w:trPr>
        <w:tc>
          <w:tcPr>
            <w:tcW w:w="5050" w:type="dxa"/>
            <w:noWrap/>
            <w:vAlign w:val="center"/>
            <w:hideMark/>
          </w:tcPr>
          <w:p w:rsidR="00265E1A" w:rsidRPr="00FB36FA" w:rsidRDefault="00265E1A">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رخام</w:t>
            </w:r>
          </w:p>
        </w:tc>
        <w:tc>
          <w:tcPr>
            <w:tcW w:w="1802" w:type="dxa"/>
            <w:noWrap/>
            <w:vAlign w:val="center"/>
            <w:hideMark/>
          </w:tcPr>
          <w:p w:rsidR="00265E1A" w:rsidRPr="00FB36FA" w:rsidRDefault="00265E1A" w:rsidP="00187B01">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2</w:t>
            </w:r>
            <w:r w:rsidR="00187B01" w:rsidRPr="00FB36FA">
              <w:rPr>
                <w:rFonts w:ascii="Arial" w:hAnsi="Arial" w:cs="Arial"/>
                <w:color w:val="000000" w:themeColor="text1"/>
                <w:sz w:val="18"/>
                <w:szCs w:val="18"/>
                <w:lang w:eastAsia="en-US"/>
              </w:rPr>
              <w:t>8</w:t>
            </w:r>
            <w:r w:rsidRPr="00FB36FA">
              <w:rPr>
                <w:rFonts w:ascii="Arial" w:hAnsi="Arial" w:cs="Arial"/>
                <w:color w:val="000000" w:themeColor="text1"/>
                <w:sz w:val="18"/>
                <w:szCs w:val="18"/>
                <w:lang w:eastAsia="en-US"/>
              </w:rPr>
              <w:t>,</w:t>
            </w:r>
            <w:r w:rsidR="00187B01" w:rsidRPr="00FB36FA">
              <w:rPr>
                <w:rFonts w:ascii="Arial" w:hAnsi="Arial" w:cs="Arial"/>
                <w:color w:val="000000" w:themeColor="text1"/>
                <w:sz w:val="18"/>
                <w:szCs w:val="18"/>
                <w:lang w:eastAsia="en-US"/>
              </w:rPr>
              <w:t>278</w:t>
            </w:r>
          </w:p>
        </w:tc>
        <w:tc>
          <w:tcPr>
            <w:tcW w:w="1802" w:type="dxa"/>
            <w:noWrap/>
            <w:vAlign w:val="center"/>
            <w:hideMark/>
          </w:tcPr>
          <w:p w:rsidR="00265E1A" w:rsidRPr="00FB36FA" w:rsidRDefault="00187B01">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4.9</w:t>
            </w:r>
          </w:p>
        </w:tc>
      </w:tr>
      <w:tr w:rsidR="00265E1A" w:rsidRPr="00165FD2" w:rsidTr="00283359">
        <w:trPr>
          <w:trHeight w:val="351"/>
        </w:trPr>
        <w:tc>
          <w:tcPr>
            <w:tcW w:w="5050" w:type="dxa"/>
            <w:noWrap/>
            <w:vAlign w:val="center"/>
            <w:hideMark/>
          </w:tcPr>
          <w:p w:rsidR="00265E1A" w:rsidRPr="00FB36FA" w:rsidRDefault="00187B01">
            <w:pPr>
              <w:rPr>
                <w:rFonts w:ascii="Arial" w:hAnsi="Arial" w:cs="Arial"/>
                <w:color w:val="000000" w:themeColor="text1"/>
                <w:sz w:val="18"/>
                <w:szCs w:val="18"/>
                <w:rtl/>
                <w:lang w:eastAsia="en-US"/>
              </w:rPr>
            </w:pPr>
            <w:r w:rsidRPr="00FB36FA">
              <w:rPr>
                <w:rFonts w:ascii="Arial" w:hAnsi="Arial" w:cs="Arial"/>
                <w:color w:val="000000" w:themeColor="text1"/>
                <w:sz w:val="18"/>
                <w:szCs w:val="18"/>
                <w:rtl/>
                <w:lang w:eastAsia="en-US"/>
              </w:rPr>
              <w:t>سبائك(</w:t>
            </w:r>
            <w:proofErr w:type="spellStart"/>
            <w:r w:rsidRPr="00FB36FA">
              <w:rPr>
                <w:rFonts w:ascii="Arial" w:hAnsi="Arial" w:cs="Arial"/>
                <w:color w:val="000000" w:themeColor="text1"/>
                <w:sz w:val="18"/>
                <w:szCs w:val="18"/>
                <w:rtl/>
                <w:lang w:eastAsia="en-US"/>
              </w:rPr>
              <w:t>اينجوت</w:t>
            </w:r>
            <w:proofErr w:type="spellEnd"/>
            <w:r w:rsidRPr="00FB36FA">
              <w:rPr>
                <w:rFonts w:ascii="Arial" w:hAnsi="Arial" w:cs="Arial"/>
                <w:color w:val="000000" w:themeColor="text1"/>
                <w:sz w:val="18"/>
                <w:szCs w:val="18"/>
                <w:rtl/>
                <w:lang w:eastAsia="en-US"/>
              </w:rPr>
              <w:t xml:space="preserve"> )ناتجة عن إعادة صهر الحديد أو الصلب</w:t>
            </w:r>
          </w:p>
        </w:tc>
        <w:tc>
          <w:tcPr>
            <w:tcW w:w="1802" w:type="dxa"/>
            <w:noWrap/>
            <w:vAlign w:val="center"/>
            <w:hideMark/>
          </w:tcPr>
          <w:p w:rsidR="00265E1A" w:rsidRPr="00FB36FA" w:rsidRDefault="00265E1A" w:rsidP="00187B01">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2</w:t>
            </w:r>
            <w:r w:rsidR="00187B01" w:rsidRPr="00FB36FA">
              <w:rPr>
                <w:rFonts w:ascii="Arial" w:hAnsi="Arial" w:cs="Arial"/>
                <w:color w:val="000000" w:themeColor="text1"/>
                <w:sz w:val="18"/>
                <w:szCs w:val="18"/>
                <w:rtl/>
                <w:lang w:eastAsia="en-US"/>
              </w:rPr>
              <w:t>3</w:t>
            </w:r>
            <w:r w:rsidRPr="00FB36FA">
              <w:rPr>
                <w:rFonts w:ascii="Arial" w:hAnsi="Arial" w:cs="Arial"/>
                <w:color w:val="000000" w:themeColor="text1"/>
                <w:sz w:val="18"/>
                <w:szCs w:val="18"/>
                <w:lang w:eastAsia="en-US"/>
              </w:rPr>
              <w:t>,</w:t>
            </w:r>
            <w:r w:rsidR="00187B01" w:rsidRPr="00FB36FA">
              <w:rPr>
                <w:rFonts w:ascii="Arial" w:hAnsi="Arial" w:cs="Arial"/>
                <w:color w:val="000000" w:themeColor="text1"/>
                <w:sz w:val="18"/>
                <w:szCs w:val="18"/>
                <w:rtl/>
                <w:lang w:eastAsia="en-US"/>
              </w:rPr>
              <w:t>752</w:t>
            </w:r>
          </w:p>
        </w:tc>
        <w:tc>
          <w:tcPr>
            <w:tcW w:w="1802" w:type="dxa"/>
            <w:noWrap/>
            <w:vAlign w:val="center"/>
            <w:hideMark/>
          </w:tcPr>
          <w:p w:rsidR="00265E1A" w:rsidRPr="00FB36FA" w:rsidRDefault="00265E1A" w:rsidP="00187B01">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4.</w:t>
            </w:r>
            <w:r w:rsidR="00187B01" w:rsidRPr="00FB36FA">
              <w:rPr>
                <w:rFonts w:ascii="Arial" w:hAnsi="Arial" w:cs="Arial"/>
                <w:color w:val="000000" w:themeColor="text1"/>
                <w:sz w:val="18"/>
                <w:szCs w:val="18"/>
                <w:rtl/>
                <w:lang w:eastAsia="en-US"/>
              </w:rPr>
              <w:t>1</w:t>
            </w:r>
          </w:p>
        </w:tc>
      </w:tr>
      <w:tr w:rsidR="00265E1A" w:rsidRPr="00165FD2" w:rsidTr="00283359">
        <w:trPr>
          <w:trHeight w:val="351"/>
        </w:trPr>
        <w:tc>
          <w:tcPr>
            <w:tcW w:w="5050" w:type="dxa"/>
            <w:noWrap/>
            <w:vAlign w:val="center"/>
            <w:hideMark/>
          </w:tcPr>
          <w:p w:rsidR="00265E1A" w:rsidRPr="00FB36FA" w:rsidRDefault="003539AB">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أكياس نايلون</w:t>
            </w:r>
          </w:p>
        </w:tc>
        <w:tc>
          <w:tcPr>
            <w:tcW w:w="1802" w:type="dxa"/>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23</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lang w:eastAsia="en-US"/>
              </w:rPr>
              <w:t>208</w:t>
            </w:r>
          </w:p>
        </w:tc>
        <w:tc>
          <w:tcPr>
            <w:tcW w:w="1802" w:type="dxa"/>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4</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0</w:t>
            </w:r>
          </w:p>
        </w:tc>
      </w:tr>
      <w:tr w:rsidR="00265E1A" w:rsidRPr="00165FD2" w:rsidTr="00283359">
        <w:trPr>
          <w:trHeight w:val="351"/>
        </w:trPr>
        <w:tc>
          <w:tcPr>
            <w:tcW w:w="5050" w:type="dxa"/>
            <w:noWrap/>
            <w:vAlign w:val="center"/>
            <w:hideMark/>
          </w:tcPr>
          <w:p w:rsidR="00265E1A" w:rsidRPr="00FB36FA" w:rsidRDefault="00265E1A">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لفائف عادية (سجائر) محتوية على تبغ</w:t>
            </w:r>
          </w:p>
        </w:tc>
        <w:tc>
          <w:tcPr>
            <w:tcW w:w="1802" w:type="dxa"/>
            <w:noWrap/>
            <w:vAlign w:val="center"/>
            <w:hideMark/>
          </w:tcPr>
          <w:p w:rsidR="00265E1A" w:rsidRPr="00FB36FA" w:rsidRDefault="00265E1A"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w:t>
            </w:r>
            <w:r w:rsidR="005071E0" w:rsidRPr="00FB36FA">
              <w:rPr>
                <w:rFonts w:ascii="Arial" w:hAnsi="Arial" w:cs="Arial"/>
                <w:color w:val="000000" w:themeColor="text1"/>
                <w:sz w:val="18"/>
                <w:szCs w:val="18"/>
                <w:lang w:eastAsia="en-US"/>
              </w:rPr>
              <w:t>8</w:t>
            </w:r>
            <w:r w:rsidRPr="00FB36FA">
              <w:rPr>
                <w:rFonts w:ascii="Arial" w:hAnsi="Arial" w:cs="Arial"/>
                <w:color w:val="000000" w:themeColor="text1"/>
                <w:sz w:val="18"/>
                <w:szCs w:val="18"/>
                <w:lang w:eastAsia="en-US"/>
              </w:rPr>
              <w:t>,</w:t>
            </w:r>
            <w:r w:rsidR="005071E0" w:rsidRPr="00FB36FA">
              <w:rPr>
                <w:rFonts w:ascii="Arial" w:hAnsi="Arial" w:cs="Arial"/>
                <w:color w:val="000000" w:themeColor="text1"/>
                <w:sz w:val="18"/>
                <w:szCs w:val="18"/>
                <w:lang w:eastAsia="en-US"/>
              </w:rPr>
              <w:t>550</w:t>
            </w:r>
          </w:p>
        </w:tc>
        <w:tc>
          <w:tcPr>
            <w:tcW w:w="1802"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3.2</w:t>
            </w:r>
          </w:p>
        </w:tc>
      </w:tr>
      <w:tr w:rsidR="00265E1A" w:rsidRPr="00165FD2" w:rsidTr="00283359">
        <w:trPr>
          <w:trHeight w:val="351"/>
        </w:trPr>
        <w:tc>
          <w:tcPr>
            <w:tcW w:w="5050" w:type="dxa"/>
            <w:noWrap/>
            <w:vAlign w:val="center"/>
            <w:hideMark/>
          </w:tcPr>
          <w:p w:rsidR="00265E1A" w:rsidRPr="00FB36FA" w:rsidRDefault="00265E1A" w:rsidP="005071E0">
            <w:pPr>
              <w:rPr>
                <w:rFonts w:ascii="Arial" w:hAnsi="Arial" w:cs="Arial"/>
                <w:color w:val="000000" w:themeColor="text1"/>
                <w:sz w:val="18"/>
                <w:szCs w:val="18"/>
                <w:rtl/>
                <w:lang w:eastAsia="en-US"/>
              </w:rPr>
            </w:pPr>
            <w:r w:rsidRPr="00FB36FA">
              <w:rPr>
                <w:rFonts w:ascii="Arial" w:hAnsi="Arial" w:cs="Arial"/>
                <w:color w:val="000000" w:themeColor="text1"/>
                <w:sz w:val="18"/>
                <w:szCs w:val="18"/>
                <w:rtl/>
                <w:lang w:eastAsia="en-US"/>
              </w:rPr>
              <w:t>أ</w:t>
            </w:r>
            <w:r w:rsidR="005071E0" w:rsidRPr="00FB36FA">
              <w:rPr>
                <w:rFonts w:ascii="Arial" w:hAnsi="Arial" w:cs="Arial"/>
                <w:color w:val="000000" w:themeColor="text1"/>
                <w:sz w:val="18"/>
                <w:szCs w:val="18"/>
                <w:rtl/>
                <w:lang w:eastAsia="en-US"/>
              </w:rPr>
              <w:t>دوية</w:t>
            </w:r>
          </w:p>
        </w:tc>
        <w:tc>
          <w:tcPr>
            <w:tcW w:w="1802" w:type="dxa"/>
            <w:noWrap/>
            <w:vAlign w:val="center"/>
            <w:hideMark/>
          </w:tcPr>
          <w:p w:rsidR="00265E1A" w:rsidRPr="00FB36FA" w:rsidRDefault="00265E1A"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w:t>
            </w:r>
            <w:r w:rsidR="005071E0" w:rsidRPr="00FB36FA">
              <w:rPr>
                <w:rFonts w:ascii="Arial" w:hAnsi="Arial" w:cs="Arial"/>
                <w:color w:val="000000" w:themeColor="text1"/>
                <w:sz w:val="18"/>
                <w:szCs w:val="18"/>
                <w:rtl/>
                <w:lang w:eastAsia="en-US"/>
              </w:rPr>
              <w:t>6</w:t>
            </w:r>
            <w:r w:rsidRPr="00FB36FA">
              <w:rPr>
                <w:rFonts w:ascii="Arial" w:hAnsi="Arial" w:cs="Arial"/>
                <w:color w:val="000000" w:themeColor="text1"/>
                <w:sz w:val="18"/>
                <w:szCs w:val="18"/>
                <w:lang w:eastAsia="en-US"/>
              </w:rPr>
              <w:t>,</w:t>
            </w:r>
            <w:r w:rsidR="005071E0" w:rsidRPr="00FB36FA">
              <w:rPr>
                <w:rFonts w:ascii="Arial" w:hAnsi="Arial" w:cs="Arial"/>
                <w:color w:val="000000" w:themeColor="text1"/>
                <w:sz w:val="18"/>
                <w:szCs w:val="18"/>
                <w:rtl/>
                <w:lang w:eastAsia="en-US"/>
              </w:rPr>
              <w:t>070</w:t>
            </w:r>
          </w:p>
        </w:tc>
        <w:tc>
          <w:tcPr>
            <w:tcW w:w="1802"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2.8</w:t>
            </w:r>
          </w:p>
        </w:tc>
      </w:tr>
      <w:tr w:rsidR="00265E1A" w:rsidRPr="00165FD2" w:rsidTr="00283359">
        <w:trPr>
          <w:trHeight w:val="351"/>
        </w:trPr>
        <w:tc>
          <w:tcPr>
            <w:tcW w:w="5050" w:type="dxa"/>
            <w:noWrap/>
            <w:vAlign w:val="center"/>
            <w:hideMark/>
          </w:tcPr>
          <w:p w:rsidR="00265E1A" w:rsidRPr="00FB36FA" w:rsidRDefault="005071E0">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أحذية</w:t>
            </w:r>
          </w:p>
        </w:tc>
        <w:tc>
          <w:tcPr>
            <w:tcW w:w="1802" w:type="dxa"/>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15</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081</w:t>
            </w:r>
          </w:p>
        </w:tc>
        <w:tc>
          <w:tcPr>
            <w:tcW w:w="1802"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2.6</w:t>
            </w:r>
          </w:p>
        </w:tc>
      </w:tr>
      <w:tr w:rsidR="00265E1A" w:rsidRPr="00165FD2" w:rsidTr="00283359">
        <w:trPr>
          <w:trHeight w:val="351"/>
        </w:trPr>
        <w:tc>
          <w:tcPr>
            <w:tcW w:w="5050" w:type="dxa"/>
            <w:noWrap/>
            <w:vAlign w:val="center"/>
            <w:hideMark/>
          </w:tcPr>
          <w:p w:rsidR="00265E1A" w:rsidRPr="00FB36FA" w:rsidRDefault="005C38EF">
            <w:pPr>
              <w:rPr>
                <w:rFonts w:ascii="Arial" w:hAnsi="Arial" w:cs="Arial"/>
                <w:color w:val="000000" w:themeColor="text1"/>
                <w:sz w:val="18"/>
                <w:szCs w:val="18"/>
                <w:rtl/>
                <w:lang w:eastAsia="en-US"/>
              </w:rPr>
            </w:pPr>
            <w:r w:rsidRPr="00FB36FA">
              <w:rPr>
                <w:rFonts w:ascii="Arial" w:hAnsi="Arial" w:cs="Arial"/>
                <w:color w:val="000000" w:themeColor="text1"/>
                <w:sz w:val="18"/>
                <w:szCs w:val="18"/>
                <w:rtl/>
                <w:lang w:eastAsia="en-US"/>
              </w:rPr>
              <w:t>زيت</w:t>
            </w:r>
            <w:r w:rsidR="00792071" w:rsidRPr="00FB36FA">
              <w:rPr>
                <w:rFonts w:ascii="Arial" w:hAnsi="Arial" w:cs="Arial"/>
                <w:color w:val="000000" w:themeColor="text1"/>
                <w:sz w:val="18"/>
                <w:szCs w:val="18"/>
                <w:rtl/>
                <w:lang w:eastAsia="en-US"/>
              </w:rPr>
              <w:t xml:space="preserve"> زيتون</w:t>
            </w:r>
            <w:r w:rsidRPr="00FB36FA">
              <w:rPr>
                <w:rFonts w:ascii="Arial" w:hAnsi="Arial" w:cs="Arial"/>
                <w:color w:val="000000" w:themeColor="text1"/>
                <w:sz w:val="18"/>
                <w:szCs w:val="18"/>
                <w:rtl/>
                <w:lang w:eastAsia="en-US"/>
              </w:rPr>
              <w:t xml:space="preserve"> بكر (</w:t>
            </w:r>
            <w:proofErr w:type="spellStart"/>
            <w:r w:rsidRPr="00FB36FA">
              <w:rPr>
                <w:rFonts w:ascii="Arial" w:hAnsi="Arial" w:cs="Arial"/>
                <w:color w:val="000000" w:themeColor="text1"/>
                <w:sz w:val="18"/>
                <w:szCs w:val="18"/>
                <w:rtl/>
                <w:lang w:eastAsia="en-US"/>
              </w:rPr>
              <w:t>العصرة</w:t>
            </w:r>
            <w:proofErr w:type="spellEnd"/>
            <w:r w:rsidRPr="00FB36FA">
              <w:rPr>
                <w:rFonts w:ascii="Arial" w:hAnsi="Arial" w:cs="Arial"/>
                <w:color w:val="000000" w:themeColor="text1"/>
                <w:sz w:val="18"/>
                <w:szCs w:val="18"/>
                <w:rtl/>
                <w:lang w:eastAsia="en-US"/>
              </w:rPr>
              <w:t xml:space="preserve"> الأولى</w:t>
            </w:r>
            <w:proofErr w:type="spellStart"/>
            <w:r w:rsidRPr="00FB36FA">
              <w:rPr>
                <w:rFonts w:ascii="Arial" w:hAnsi="Arial" w:cs="Arial"/>
                <w:color w:val="000000" w:themeColor="text1"/>
                <w:sz w:val="18"/>
                <w:szCs w:val="18"/>
                <w:rtl/>
                <w:lang w:eastAsia="en-US"/>
              </w:rPr>
              <w:t>)</w:t>
            </w:r>
            <w:proofErr w:type="spellEnd"/>
            <w:r w:rsidRPr="00FB36FA">
              <w:rPr>
                <w:rFonts w:ascii="Arial" w:hAnsi="Arial" w:cs="Arial"/>
                <w:color w:val="000000" w:themeColor="text1"/>
                <w:sz w:val="18"/>
                <w:szCs w:val="18"/>
                <w:rtl/>
                <w:lang w:eastAsia="en-US"/>
              </w:rPr>
              <w:t xml:space="preserve"> </w:t>
            </w:r>
            <w:proofErr w:type="spellStart"/>
            <w:r w:rsidRPr="00FB36FA">
              <w:rPr>
                <w:rFonts w:ascii="Arial" w:hAnsi="Arial" w:cs="Arial"/>
                <w:color w:val="000000" w:themeColor="text1"/>
                <w:sz w:val="18"/>
                <w:szCs w:val="18"/>
                <w:rtl/>
                <w:lang w:eastAsia="en-US"/>
              </w:rPr>
              <w:t>(</w:t>
            </w:r>
            <w:proofErr w:type="spellEnd"/>
            <w:r w:rsidRPr="00FB36FA">
              <w:rPr>
                <w:rFonts w:ascii="Arial" w:hAnsi="Arial" w:cs="Arial"/>
                <w:color w:val="000000" w:themeColor="text1"/>
                <w:sz w:val="18"/>
                <w:szCs w:val="18"/>
                <w:lang w:eastAsia="en-US"/>
              </w:rPr>
              <w:t>VIRGIN</w:t>
            </w:r>
            <w:r w:rsidRPr="00FB36FA">
              <w:rPr>
                <w:rFonts w:ascii="Arial" w:hAnsi="Arial" w:cs="Arial"/>
                <w:color w:val="000000" w:themeColor="text1"/>
                <w:sz w:val="18"/>
                <w:szCs w:val="18"/>
                <w:rtl/>
                <w:lang w:eastAsia="en-US"/>
              </w:rPr>
              <w:t>)</w:t>
            </w:r>
          </w:p>
        </w:tc>
        <w:tc>
          <w:tcPr>
            <w:tcW w:w="1802" w:type="dxa"/>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13</w:t>
            </w:r>
            <w:r w:rsidR="00265E1A" w:rsidRPr="00FB36FA">
              <w:rPr>
                <w:rFonts w:ascii="Arial" w:hAnsi="Arial" w:cs="Arial"/>
                <w:color w:val="000000" w:themeColor="text1"/>
                <w:sz w:val="18"/>
                <w:szCs w:val="18"/>
                <w:lang w:eastAsia="en-US"/>
              </w:rPr>
              <w:t>,</w:t>
            </w:r>
            <w:r w:rsidRPr="00FB36FA">
              <w:rPr>
                <w:rFonts w:ascii="Arial" w:hAnsi="Arial" w:cs="Arial"/>
                <w:color w:val="000000" w:themeColor="text1"/>
                <w:sz w:val="18"/>
                <w:szCs w:val="18"/>
                <w:rtl/>
                <w:lang w:eastAsia="en-US"/>
              </w:rPr>
              <w:t>794</w:t>
            </w:r>
          </w:p>
        </w:tc>
        <w:tc>
          <w:tcPr>
            <w:tcW w:w="1802" w:type="dxa"/>
            <w:noWrap/>
            <w:vAlign w:val="center"/>
            <w:hideMark/>
          </w:tcPr>
          <w:p w:rsidR="00265E1A" w:rsidRPr="00FB36FA" w:rsidRDefault="00265E1A">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2.4</w:t>
            </w:r>
          </w:p>
        </w:tc>
      </w:tr>
      <w:tr w:rsidR="00265E1A" w:rsidRPr="00165FD2" w:rsidTr="00283359">
        <w:trPr>
          <w:trHeight w:val="351"/>
        </w:trPr>
        <w:tc>
          <w:tcPr>
            <w:tcW w:w="5050" w:type="dxa"/>
            <w:noWrap/>
            <w:vAlign w:val="center"/>
            <w:hideMark/>
          </w:tcPr>
          <w:p w:rsidR="00265E1A" w:rsidRPr="00FB36FA" w:rsidRDefault="005C38EF">
            <w:pP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أثاث من خشب من الأنواع المستعملة في غرف النوم</w:t>
            </w:r>
          </w:p>
        </w:tc>
        <w:tc>
          <w:tcPr>
            <w:tcW w:w="1802" w:type="dxa"/>
            <w:noWrap/>
            <w:vAlign w:val="center"/>
            <w:hideMark/>
          </w:tcPr>
          <w:p w:rsidR="00265E1A" w:rsidRPr="00FB36FA" w:rsidRDefault="005071E0"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12</w:t>
            </w:r>
            <w:r w:rsidR="00265E1A" w:rsidRPr="00FB36FA">
              <w:rPr>
                <w:rFonts w:ascii="Arial" w:hAnsi="Arial" w:cs="Arial"/>
                <w:color w:val="000000" w:themeColor="text1"/>
                <w:sz w:val="18"/>
                <w:szCs w:val="18"/>
                <w:lang w:eastAsia="en-US"/>
              </w:rPr>
              <w:t>,6</w:t>
            </w:r>
            <w:r w:rsidRPr="00FB36FA">
              <w:rPr>
                <w:rFonts w:ascii="Arial" w:hAnsi="Arial" w:cs="Arial"/>
                <w:color w:val="000000" w:themeColor="text1"/>
                <w:sz w:val="18"/>
                <w:szCs w:val="18"/>
                <w:lang w:eastAsia="en-US"/>
              </w:rPr>
              <w:t>9</w:t>
            </w:r>
            <w:r w:rsidR="00265E1A" w:rsidRPr="00FB36FA">
              <w:rPr>
                <w:rFonts w:ascii="Arial" w:hAnsi="Arial" w:cs="Arial"/>
                <w:color w:val="000000" w:themeColor="text1"/>
                <w:sz w:val="18"/>
                <w:szCs w:val="18"/>
                <w:lang w:eastAsia="en-US"/>
              </w:rPr>
              <w:t>8</w:t>
            </w:r>
          </w:p>
        </w:tc>
        <w:tc>
          <w:tcPr>
            <w:tcW w:w="1802"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2.2</w:t>
            </w:r>
          </w:p>
        </w:tc>
      </w:tr>
      <w:tr w:rsidR="00265E1A" w:rsidRPr="00165FD2" w:rsidTr="00283359">
        <w:trPr>
          <w:trHeight w:val="351"/>
        </w:trPr>
        <w:tc>
          <w:tcPr>
            <w:tcW w:w="5050" w:type="dxa"/>
            <w:noWrap/>
            <w:vAlign w:val="center"/>
            <w:hideMark/>
          </w:tcPr>
          <w:p w:rsidR="00265E1A" w:rsidRPr="00FB36FA" w:rsidRDefault="005C38EF" w:rsidP="003539AB">
            <w:pPr>
              <w:rPr>
                <w:rFonts w:ascii="Arial" w:hAnsi="Arial" w:cs="Arial"/>
                <w:color w:val="000000" w:themeColor="text1"/>
                <w:sz w:val="18"/>
                <w:szCs w:val="18"/>
                <w:lang w:eastAsia="en-US"/>
              </w:rPr>
            </w:pPr>
            <w:bookmarkStart w:id="13" w:name="OLE_LINK1"/>
            <w:bookmarkStart w:id="14" w:name="OLE_LINK2"/>
            <w:proofErr w:type="spellStart"/>
            <w:r w:rsidRPr="00FB36FA">
              <w:rPr>
                <w:rFonts w:ascii="Arial" w:hAnsi="Arial" w:cs="Arial"/>
                <w:color w:val="000000" w:themeColor="text1"/>
                <w:sz w:val="18"/>
                <w:szCs w:val="18"/>
                <w:rtl/>
                <w:lang w:eastAsia="en-US"/>
              </w:rPr>
              <w:t>طب</w:t>
            </w:r>
            <w:r w:rsidR="003539AB" w:rsidRPr="00FB36FA">
              <w:rPr>
                <w:rFonts w:ascii="Arial" w:hAnsi="Arial" w:cs="Arial"/>
                <w:color w:val="000000" w:themeColor="text1"/>
                <w:sz w:val="18"/>
                <w:szCs w:val="18"/>
                <w:rtl/>
                <w:lang w:eastAsia="en-US"/>
              </w:rPr>
              <w:t>ل</w:t>
            </w:r>
            <w:r w:rsidRPr="00FB36FA">
              <w:rPr>
                <w:rFonts w:ascii="Arial" w:hAnsi="Arial" w:cs="Arial"/>
                <w:color w:val="000000" w:themeColor="text1"/>
                <w:sz w:val="18"/>
                <w:szCs w:val="18"/>
                <w:rtl/>
                <w:lang w:eastAsia="en-US"/>
              </w:rPr>
              <w:t>يات</w:t>
            </w:r>
            <w:bookmarkEnd w:id="13"/>
            <w:bookmarkEnd w:id="14"/>
            <w:r w:rsidRPr="00FB36FA">
              <w:rPr>
                <w:rFonts w:ascii="Arial" w:hAnsi="Arial" w:cs="Arial"/>
                <w:color w:val="000000" w:themeColor="text1"/>
                <w:sz w:val="18"/>
                <w:szCs w:val="18"/>
                <w:rtl/>
                <w:lang w:eastAsia="en-US"/>
              </w:rPr>
              <w:t>؛</w:t>
            </w:r>
            <w:proofErr w:type="spellEnd"/>
            <w:r w:rsidRPr="00FB36FA">
              <w:rPr>
                <w:rFonts w:ascii="Arial" w:hAnsi="Arial" w:cs="Arial"/>
                <w:color w:val="000000" w:themeColor="text1"/>
                <w:sz w:val="18"/>
                <w:szCs w:val="18"/>
                <w:rtl/>
                <w:lang w:eastAsia="en-US"/>
              </w:rPr>
              <w:t xml:space="preserve"> </w:t>
            </w:r>
            <w:proofErr w:type="spellStart"/>
            <w:r w:rsidRPr="00FB36FA">
              <w:rPr>
                <w:rFonts w:ascii="Arial" w:hAnsi="Arial" w:cs="Arial"/>
                <w:color w:val="000000" w:themeColor="text1"/>
                <w:sz w:val="18"/>
                <w:szCs w:val="18"/>
                <w:rtl/>
                <w:lang w:eastAsia="en-US"/>
              </w:rPr>
              <w:t>و</w:t>
            </w:r>
            <w:r w:rsidR="003539AB" w:rsidRPr="00FB36FA">
              <w:rPr>
                <w:rFonts w:ascii="Arial" w:hAnsi="Arial" w:cs="Arial"/>
                <w:color w:val="000000" w:themeColor="text1"/>
                <w:sz w:val="18"/>
                <w:szCs w:val="18"/>
                <w:rtl/>
                <w:lang w:eastAsia="en-US"/>
              </w:rPr>
              <w:t>طبليات</w:t>
            </w:r>
            <w:proofErr w:type="spellEnd"/>
            <w:r w:rsidRPr="00FB36FA">
              <w:rPr>
                <w:rFonts w:ascii="Arial" w:hAnsi="Arial" w:cs="Arial"/>
                <w:color w:val="000000" w:themeColor="text1"/>
                <w:sz w:val="18"/>
                <w:szCs w:val="18"/>
                <w:rtl/>
                <w:lang w:eastAsia="en-US"/>
              </w:rPr>
              <w:t xml:space="preserve"> صناديق وقواعد تحميل </w:t>
            </w:r>
            <w:proofErr w:type="spellStart"/>
            <w:r w:rsidRPr="00FB36FA">
              <w:rPr>
                <w:rFonts w:ascii="Arial" w:hAnsi="Arial" w:cs="Arial"/>
                <w:color w:val="000000" w:themeColor="text1"/>
                <w:sz w:val="18"/>
                <w:szCs w:val="18"/>
                <w:rtl/>
                <w:lang w:eastAsia="en-US"/>
              </w:rPr>
              <w:t>أخر؛</w:t>
            </w:r>
            <w:proofErr w:type="spellEnd"/>
            <w:r w:rsidRPr="00FB36FA">
              <w:rPr>
                <w:rFonts w:ascii="Arial" w:hAnsi="Arial" w:cs="Arial"/>
                <w:color w:val="000000" w:themeColor="text1"/>
                <w:sz w:val="18"/>
                <w:szCs w:val="18"/>
                <w:rtl/>
                <w:lang w:eastAsia="en-US"/>
              </w:rPr>
              <w:t xml:space="preserve"> أطواق مثبتة </w:t>
            </w:r>
            <w:proofErr w:type="spellStart"/>
            <w:r w:rsidRPr="00FB36FA">
              <w:rPr>
                <w:rFonts w:ascii="Arial" w:hAnsi="Arial" w:cs="Arial"/>
                <w:color w:val="000000" w:themeColor="text1"/>
                <w:sz w:val="18"/>
                <w:szCs w:val="18"/>
                <w:rtl/>
                <w:lang w:eastAsia="en-US"/>
              </w:rPr>
              <w:t>للطلبيات</w:t>
            </w:r>
            <w:proofErr w:type="spellEnd"/>
          </w:p>
        </w:tc>
        <w:tc>
          <w:tcPr>
            <w:tcW w:w="1802" w:type="dxa"/>
            <w:noWrap/>
            <w:vAlign w:val="center"/>
            <w:hideMark/>
          </w:tcPr>
          <w:p w:rsidR="00265E1A" w:rsidRPr="00FB36FA" w:rsidRDefault="00265E1A" w:rsidP="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lang w:eastAsia="en-US"/>
              </w:rPr>
              <w:t>1</w:t>
            </w:r>
            <w:r w:rsidR="005071E0" w:rsidRPr="00FB36FA">
              <w:rPr>
                <w:rFonts w:ascii="Arial" w:hAnsi="Arial" w:cs="Arial"/>
                <w:color w:val="000000" w:themeColor="text1"/>
                <w:sz w:val="18"/>
                <w:szCs w:val="18"/>
                <w:lang w:eastAsia="en-US"/>
              </w:rPr>
              <w:t>2</w:t>
            </w:r>
            <w:r w:rsidRPr="00FB36FA">
              <w:rPr>
                <w:rFonts w:ascii="Arial" w:hAnsi="Arial" w:cs="Arial"/>
                <w:color w:val="000000" w:themeColor="text1"/>
                <w:sz w:val="18"/>
                <w:szCs w:val="18"/>
                <w:lang w:eastAsia="en-US"/>
              </w:rPr>
              <w:t>,</w:t>
            </w:r>
            <w:r w:rsidR="005071E0" w:rsidRPr="00FB36FA">
              <w:rPr>
                <w:rFonts w:ascii="Arial" w:hAnsi="Arial" w:cs="Arial"/>
                <w:color w:val="000000" w:themeColor="text1"/>
                <w:sz w:val="18"/>
                <w:szCs w:val="18"/>
                <w:lang w:eastAsia="en-US"/>
              </w:rPr>
              <w:t>514</w:t>
            </w:r>
          </w:p>
        </w:tc>
        <w:tc>
          <w:tcPr>
            <w:tcW w:w="1802" w:type="dxa"/>
            <w:noWrap/>
            <w:vAlign w:val="center"/>
            <w:hideMark/>
          </w:tcPr>
          <w:p w:rsidR="00265E1A" w:rsidRPr="00FB36FA" w:rsidRDefault="005071E0">
            <w:pPr>
              <w:bidi w:val="0"/>
              <w:jc w:val="center"/>
              <w:rPr>
                <w:rFonts w:ascii="Arial" w:hAnsi="Arial" w:cs="Arial"/>
                <w:color w:val="000000" w:themeColor="text1"/>
                <w:sz w:val="18"/>
                <w:szCs w:val="18"/>
                <w:lang w:eastAsia="en-US"/>
              </w:rPr>
            </w:pPr>
            <w:r w:rsidRPr="00FB36FA">
              <w:rPr>
                <w:rFonts w:ascii="Arial" w:hAnsi="Arial" w:cs="Arial"/>
                <w:color w:val="000000" w:themeColor="text1"/>
                <w:sz w:val="18"/>
                <w:szCs w:val="18"/>
                <w:rtl/>
                <w:lang w:eastAsia="en-US"/>
              </w:rPr>
              <w:t>2.2</w:t>
            </w:r>
          </w:p>
        </w:tc>
      </w:tr>
      <w:tr w:rsidR="00265E1A" w:rsidRPr="00165FD2" w:rsidTr="00283359">
        <w:trPr>
          <w:trHeight w:val="306"/>
        </w:trPr>
        <w:tc>
          <w:tcPr>
            <w:tcW w:w="5050" w:type="dxa"/>
            <w:noWrap/>
            <w:vAlign w:val="center"/>
            <w:hideMark/>
          </w:tcPr>
          <w:p w:rsidR="00265E1A" w:rsidRPr="00FB36FA" w:rsidRDefault="00265E1A">
            <w:pP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المجموع</w:t>
            </w:r>
          </w:p>
        </w:tc>
        <w:tc>
          <w:tcPr>
            <w:tcW w:w="1802" w:type="dxa"/>
            <w:noWrap/>
            <w:vAlign w:val="center"/>
            <w:hideMark/>
          </w:tcPr>
          <w:p w:rsidR="00265E1A" w:rsidRPr="00FB36FA" w:rsidRDefault="005071E0" w:rsidP="005071E0">
            <w:pPr>
              <w:bidi w:val="0"/>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lang w:eastAsia="en-US"/>
              </w:rPr>
              <w:t>234</w:t>
            </w:r>
            <w:r w:rsidR="00265E1A" w:rsidRPr="00FB36FA">
              <w:rPr>
                <w:rFonts w:ascii="Arial" w:hAnsi="Arial" w:cs="Arial"/>
                <w:b/>
                <w:bCs/>
                <w:color w:val="000000" w:themeColor="text1"/>
                <w:sz w:val="18"/>
                <w:szCs w:val="18"/>
                <w:lang w:eastAsia="en-US"/>
              </w:rPr>
              <w:t>,</w:t>
            </w:r>
            <w:r w:rsidRPr="00FB36FA">
              <w:rPr>
                <w:rFonts w:ascii="Arial" w:hAnsi="Arial" w:cs="Arial"/>
                <w:b/>
                <w:bCs/>
                <w:color w:val="000000" w:themeColor="text1"/>
                <w:sz w:val="18"/>
                <w:szCs w:val="18"/>
                <w:lang w:eastAsia="en-US"/>
              </w:rPr>
              <w:t>566</w:t>
            </w:r>
          </w:p>
        </w:tc>
        <w:tc>
          <w:tcPr>
            <w:tcW w:w="1802" w:type="dxa"/>
            <w:noWrap/>
            <w:vAlign w:val="center"/>
            <w:hideMark/>
          </w:tcPr>
          <w:p w:rsidR="00265E1A" w:rsidRPr="00FB36FA" w:rsidRDefault="005071E0">
            <w:pPr>
              <w:bidi w:val="0"/>
              <w:jc w:val="center"/>
              <w:rPr>
                <w:rFonts w:ascii="Arial" w:hAnsi="Arial" w:cs="Arial"/>
                <w:b/>
                <w:bCs/>
                <w:color w:val="000000" w:themeColor="text1"/>
                <w:sz w:val="18"/>
                <w:szCs w:val="18"/>
                <w:lang w:eastAsia="en-US"/>
              </w:rPr>
            </w:pPr>
            <w:r w:rsidRPr="00FB36FA">
              <w:rPr>
                <w:rFonts w:ascii="Arial" w:hAnsi="Arial" w:cs="Arial"/>
                <w:b/>
                <w:bCs/>
                <w:color w:val="000000" w:themeColor="text1"/>
                <w:sz w:val="18"/>
                <w:szCs w:val="18"/>
                <w:rtl/>
                <w:lang w:eastAsia="en-US"/>
              </w:rPr>
              <w:t>40.8</w:t>
            </w:r>
          </w:p>
        </w:tc>
      </w:tr>
    </w:tbl>
    <w:p w:rsidR="00F63205" w:rsidRPr="00165FD2" w:rsidRDefault="00B45AC2">
      <w:pPr>
        <w:jc w:val="lowKashida"/>
        <w:rPr>
          <w:rFonts w:cs="Simplified Arabic"/>
          <w:color w:val="000000" w:themeColor="text1"/>
          <w:sz w:val="18"/>
          <w:szCs w:val="18"/>
          <w:rtl/>
        </w:rPr>
      </w:pPr>
      <w:r w:rsidRPr="00165FD2">
        <w:rPr>
          <w:rFonts w:cs="Simplified Arabic" w:hint="cs"/>
          <w:color w:val="000000" w:themeColor="text1"/>
          <w:sz w:val="18"/>
          <w:szCs w:val="18"/>
          <w:rtl/>
        </w:rPr>
        <w:t>*</w:t>
      </w:r>
      <w:r w:rsidR="005071E0" w:rsidRPr="00165FD2">
        <w:rPr>
          <w:rFonts w:cs="Simplified Arabic" w:hint="cs"/>
          <w:color w:val="000000" w:themeColor="text1"/>
          <w:sz w:val="18"/>
          <w:szCs w:val="18"/>
          <w:rtl/>
        </w:rPr>
        <w:t xml:space="preserve"> </w:t>
      </w:r>
      <w:r w:rsidRPr="00165FD2">
        <w:rPr>
          <w:rFonts w:cs="Simplified Arabic" w:hint="cs"/>
          <w:color w:val="000000" w:themeColor="text1"/>
          <w:sz w:val="18"/>
          <w:szCs w:val="18"/>
          <w:rtl/>
        </w:rPr>
        <w:t xml:space="preserve">تم </w:t>
      </w:r>
      <w:r w:rsidR="00792071" w:rsidRPr="00165FD2">
        <w:rPr>
          <w:rFonts w:cs="Simplified Arabic" w:hint="cs"/>
          <w:color w:val="000000" w:themeColor="text1"/>
          <w:sz w:val="18"/>
          <w:szCs w:val="18"/>
          <w:rtl/>
        </w:rPr>
        <w:t>احتساب</w:t>
      </w:r>
      <w:r w:rsidRPr="00165FD2">
        <w:rPr>
          <w:rFonts w:cs="Simplified Arabic" w:hint="cs"/>
          <w:color w:val="000000" w:themeColor="text1"/>
          <w:sz w:val="18"/>
          <w:szCs w:val="18"/>
          <w:rtl/>
        </w:rPr>
        <w:t xml:space="preserve"> النسبة المئوية لكل سلعة من إجمالي السلع المصدرة المرصودة من الأراضي الفلسطينية</w:t>
      </w:r>
    </w:p>
    <w:p w:rsidR="004F20DE" w:rsidRPr="00165FD2" w:rsidRDefault="004F20DE">
      <w:pPr>
        <w:jc w:val="lowKashida"/>
        <w:rPr>
          <w:rFonts w:cs="Simplified Arabic"/>
          <w:color w:val="000000" w:themeColor="text1"/>
          <w:rtl/>
        </w:rPr>
      </w:pPr>
    </w:p>
    <w:p w:rsidR="004F20DE" w:rsidRPr="00165FD2" w:rsidRDefault="004F20DE">
      <w:pPr>
        <w:jc w:val="lowKashida"/>
        <w:rPr>
          <w:rFonts w:cs="Simplified Arabic"/>
          <w:color w:val="000000" w:themeColor="text1"/>
          <w:rtl/>
        </w:rPr>
      </w:pPr>
    </w:p>
    <w:p w:rsidR="00FE7858" w:rsidRDefault="00FE7858" w:rsidP="00FE7858">
      <w:pPr>
        <w:rPr>
          <w:rFonts w:cs="Simplified Arabic"/>
          <w:color w:val="000000" w:themeColor="text1"/>
          <w:rtl/>
        </w:rPr>
      </w:pPr>
    </w:p>
    <w:p w:rsidR="004D2540" w:rsidRDefault="004D2540" w:rsidP="00FE7858">
      <w:pPr>
        <w:rPr>
          <w:rFonts w:cs="Simplified Arabic"/>
          <w:color w:val="000000" w:themeColor="text1"/>
          <w:rtl/>
        </w:rPr>
      </w:pPr>
    </w:p>
    <w:p w:rsidR="00C743BA" w:rsidRPr="00165FD2" w:rsidRDefault="00C743BA" w:rsidP="00C743BA">
      <w:pPr>
        <w:pStyle w:val="Heading2"/>
        <w:jc w:val="both"/>
        <w:rPr>
          <w:color w:val="000000"/>
          <w:rtl/>
        </w:rPr>
      </w:pPr>
      <w:r>
        <w:rPr>
          <w:rFonts w:hint="cs"/>
          <w:color w:val="000000"/>
          <w:rtl/>
        </w:rPr>
        <w:lastRenderedPageBreak/>
        <w:t>7</w:t>
      </w:r>
      <w:r w:rsidRPr="00165FD2">
        <w:rPr>
          <w:rFonts w:hint="cs"/>
          <w:color w:val="000000"/>
          <w:rtl/>
        </w:rPr>
        <w:t xml:space="preserve">- </w:t>
      </w:r>
      <w:r>
        <w:rPr>
          <w:rFonts w:hint="cs"/>
          <w:color w:val="000000"/>
          <w:rtl/>
        </w:rPr>
        <w:t>المالية العامة</w:t>
      </w:r>
      <w:r w:rsidR="00FF3804">
        <w:rPr>
          <w:rStyle w:val="FootnoteReference"/>
          <w:rtl/>
        </w:rPr>
        <w:footnoteReference w:customMarkFollows="1" w:id="5"/>
        <w:t>1</w:t>
      </w:r>
      <w:r w:rsidRPr="00165FD2">
        <w:rPr>
          <w:rFonts w:hint="cs"/>
          <w:color w:val="000000"/>
          <w:rtl/>
        </w:rPr>
        <w:t xml:space="preserve"> </w:t>
      </w:r>
    </w:p>
    <w:p w:rsidR="00C743BA" w:rsidRPr="00693408" w:rsidRDefault="00C743BA" w:rsidP="002F5404">
      <w:pPr>
        <w:spacing w:before="240"/>
        <w:jc w:val="lowKashida"/>
        <w:rPr>
          <w:rFonts w:cs="Simplified Arabic"/>
          <w:color w:val="000000"/>
          <w:rtl/>
        </w:rPr>
      </w:pPr>
      <w:r w:rsidRPr="00693408">
        <w:rPr>
          <w:rFonts w:cs="Simplified Arabic" w:hint="cs"/>
          <w:b/>
          <w:bCs/>
          <w:color w:val="000000"/>
          <w:rtl/>
        </w:rPr>
        <w:t xml:space="preserve">يشكل </w:t>
      </w:r>
      <w:r>
        <w:rPr>
          <w:rFonts w:cs="Simplified Arabic" w:hint="cs"/>
          <w:b/>
          <w:bCs/>
          <w:color w:val="000000"/>
          <w:rtl/>
        </w:rPr>
        <w:t>الإنفاق</w:t>
      </w:r>
      <w:r w:rsidRPr="00693408">
        <w:rPr>
          <w:rFonts w:cs="Simplified Arabic" w:hint="cs"/>
          <w:b/>
          <w:bCs/>
          <w:color w:val="000000"/>
          <w:rtl/>
        </w:rPr>
        <w:t xml:space="preserve"> الحكومي</w:t>
      </w:r>
      <w:r>
        <w:rPr>
          <w:rFonts w:cs="Simplified Arabic" w:hint="cs"/>
          <w:b/>
          <w:bCs/>
          <w:color w:val="000000"/>
          <w:rtl/>
        </w:rPr>
        <w:t>، بشقي</w:t>
      </w:r>
      <w:r w:rsidR="002F5404">
        <w:rPr>
          <w:rFonts w:cs="Simplified Arabic" w:hint="cs"/>
          <w:b/>
          <w:bCs/>
          <w:color w:val="000000"/>
          <w:rtl/>
        </w:rPr>
        <w:t>ه</w:t>
      </w:r>
      <w:r>
        <w:rPr>
          <w:rFonts w:cs="Simplified Arabic" w:hint="cs"/>
          <w:b/>
          <w:bCs/>
          <w:color w:val="000000"/>
          <w:rtl/>
        </w:rPr>
        <w:t xml:space="preserve"> الجاري والاستثماري،</w:t>
      </w:r>
      <w:r w:rsidRPr="00693408">
        <w:rPr>
          <w:rFonts w:cs="Simplified Arabic" w:hint="cs"/>
          <w:b/>
          <w:bCs/>
          <w:color w:val="000000"/>
          <w:rtl/>
        </w:rPr>
        <w:t xml:space="preserve"> ما نسبته </w:t>
      </w:r>
      <w:r w:rsidRPr="00693408">
        <w:rPr>
          <w:rFonts w:cs="Simplified Arabic"/>
          <w:b/>
          <w:bCs/>
          <w:color w:val="000000"/>
        </w:rPr>
        <w:t>22.0</w:t>
      </w:r>
      <w:r w:rsidRPr="00693408">
        <w:rPr>
          <w:rFonts w:cs="Simplified Arabic" w:hint="cs"/>
          <w:b/>
          <w:bCs/>
          <w:color w:val="000000"/>
          <w:rtl/>
        </w:rPr>
        <w:t>% من إجمالي الناتج المحلي في الأراضي الفلسطينية</w:t>
      </w:r>
      <w:r>
        <w:rPr>
          <w:rFonts w:cs="Simplified Arabic" w:hint="cs"/>
          <w:b/>
          <w:bCs/>
          <w:color w:val="000000"/>
          <w:rtl/>
        </w:rPr>
        <w:t xml:space="preserve"> عام 2011</w:t>
      </w:r>
      <w:r w:rsidRPr="00693408">
        <w:rPr>
          <w:rFonts w:cs="Simplified Arabic" w:hint="cs"/>
          <w:b/>
          <w:bCs/>
          <w:color w:val="000000"/>
          <w:rtl/>
        </w:rPr>
        <w:t xml:space="preserve">. </w:t>
      </w:r>
      <w:r>
        <w:rPr>
          <w:rFonts w:cs="Simplified Arabic" w:hint="cs"/>
          <w:color w:val="000000"/>
          <w:rtl/>
        </w:rPr>
        <w:t>وقد</w:t>
      </w:r>
      <w:r w:rsidRPr="00693408">
        <w:rPr>
          <w:rFonts w:cs="Simplified Arabic" w:hint="cs"/>
          <w:color w:val="000000"/>
          <w:rtl/>
        </w:rPr>
        <w:t xml:space="preserve"> شهدت الأراضي الفلسطينية مجموعة من التغيرات السياسية والاقتصادية بشكل </w:t>
      </w:r>
      <w:proofErr w:type="spellStart"/>
      <w:r w:rsidRPr="00693408">
        <w:rPr>
          <w:rFonts w:cs="Simplified Arabic" w:hint="cs"/>
          <w:color w:val="000000"/>
          <w:rtl/>
        </w:rPr>
        <w:t>متسارع</w:t>
      </w:r>
      <w:proofErr w:type="spellEnd"/>
      <w:r w:rsidRPr="00693408">
        <w:rPr>
          <w:rFonts w:cs="Simplified Arabic" w:hint="cs"/>
          <w:color w:val="000000"/>
          <w:rtl/>
        </w:rPr>
        <w:t xml:space="preserve"> </w:t>
      </w:r>
      <w:r>
        <w:rPr>
          <w:rFonts w:cs="Simplified Arabic" w:hint="cs"/>
          <w:color w:val="000000"/>
          <w:rtl/>
        </w:rPr>
        <w:t xml:space="preserve">خلال ذلك العام </w:t>
      </w:r>
      <w:r w:rsidRPr="00693408">
        <w:rPr>
          <w:rFonts w:cs="Simplified Arabic" w:hint="cs"/>
          <w:color w:val="000000"/>
          <w:rtl/>
        </w:rPr>
        <w:t xml:space="preserve">أثرت على الأداء المالي </w:t>
      </w:r>
      <w:r>
        <w:rPr>
          <w:rFonts w:cs="Simplified Arabic" w:hint="cs"/>
          <w:color w:val="000000"/>
          <w:rtl/>
        </w:rPr>
        <w:t xml:space="preserve">للسلطة الوطنية، سواء </w:t>
      </w:r>
      <w:r w:rsidRPr="00693408">
        <w:rPr>
          <w:rFonts w:cs="Simplified Arabic" w:hint="cs"/>
          <w:color w:val="000000"/>
          <w:rtl/>
        </w:rPr>
        <w:t xml:space="preserve">من حيث الإيرادات </w:t>
      </w:r>
      <w:r>
        <w:rPr>
          <w:rFonts w:cs="Simplified Arabic" w:hint="cs"/>
          <w:color w:val="000000"/>
          <w:rtl/>
        </w:rPr>
        <w:t>أ</w:t>
      </w:r>
      <w:r w:rsidRPr="00693408">
        <w:rPr>
          <w:rFonts w:cs="Simplified Arabic" w:hint="cs"/>
          <w:color w:val="000000"/>
          <w:rtl/>
        </w:rPr>
        <w:t>و</w:t>
      </w:r>
      <w:r>
        <w:rPr>
          <w:rFonts w:cs="Simplified Arabic" w:hint="cs"/>
          <w:color w:val="000000"/>
          <w:rtl/>
        </w:rPr>
        <w:t xml:space="preserve"> </w:t>
      </w:r>
      <w:r w:rsidRPr="00693408">
        <w:rPr>
          <w:rFonts w:cs="Simplified Arabic" w:hint="cs"/>
          <w:color w:val="000000"/>
          <w:rtl/>
        </w:rPr>
        <w:t xml:space="preserve">النفقات </w:t>
      </w:r>
      <w:r>
        <w:rPr>
          <w:rFonts w:cs="Simplified Arabic" w:hint="cs"/>
          <w:color w:val="000000"/>
          <w:rtl/>
        </w:rPr>
        <w:t>أ</w:t>
      </w:r>
      <w:r w:rsidRPr="00693408">
        <w:rPr>
          <w:rFonts w:cs="Simplified Arabic" w:hint="cs"/>
          <w:color w:val="000000"/>
          <w:rtl/>
        </w:rPr>
        <w:t>و</w:t>
      </w:r>
      <w:r>
        <w:rPr>
          <w:rFonts w:cs="Simplified Arabic" w:hint="cs"/>
          <w:color w:val="000000"/>
          <w:rtl/>
        </w:rPr>
        <w:t xml:space="preserve"> </w:t>
      </w:r>
      <w:r w:rsidRPr="00693408">
        <w:rPr>
          <w:rFonts w:cs="Simplified Arabic" w:hint="cs"/>
          <w:color w:val="000000"/>
          <w:rtl/>
        </w:rPr>
        <w:t xml:space="preserve">عجز </w:t>
      </w:r>
      <w:proofErr w:type="spellStart"/>
      <w:r w:rsidRPr="00693408">
        <w:rPr>
          <w:rFonts w:cs="Simplified Arabic" w:hint="cs"/>
          <w:color w:val="000000"/>
          <w:rtl/>
        </w:rPr>
        <w:t>الموازنه</w:t>
      </w:r>
      <w:proofErr w:type="spellEnd"/>
      <w:r w:rsidRPr="00693408">
        <w:rPr>
          <w:rFonts w:cs="Simplified Arabic" w:hint="cs"/>
          <w:color w:val="000000"/>
          <w:rtl/>
        </w:rPr>
        <w:t>.</w:t>
      </w:r>
    </w:p>
    <w:p w:rsidR="00C743BA" w:rsidRDefault="00C743BA" w:rsidP="00C743BA">
      <w:pPr>
        <w:pStyle w:val="Heading1"/>
        <w:keepNext w:val="0"/>
        <w:spacing w:before="240"/>
        <w:jc w:val="lowKashida"/>
        <w:rPr>
          <w:color w:val="000000"/>
          <w:rtl/>
        </w:rPr>
      </w:pPr>
      <w:r w:rsidRPr="005A2E97">
        <w:rPr>
          <w:rFonts w:hint="cs"/>
          <w:color w:val="000000"/>
          <w:rtl/>
        </w:rPr>
        <w:t>بالنسبة للإيرادات، فقد ارتفع إجمالي الإيرادات العامة خلال عام 2011 بنسبة 6.1% مقارنة مع العام 2010 ليصل إلى حوالي 2.0 مليار دولار. وقد شكلت الإيرادات المحلية (الضريبية وغير الضريبية)  ما نسبته 36.1% من إجمالي الإيرادات،</w:t>
      </w:r>
      <w:r>
        <w:rPr>
          <w:rFonts w:hint="cs"/>
          <w:b w:val="0"/>
          <w:bCs w:val="0"/>
          <w:color w:val="000000"/>
          <w:rtl/>
        </w:rPr>
        <w:t xml:space="preserve"> </w:t>
      </w:r>
      <w:r w:rsidRPr="002E0A52">
        <w:rPr>
          <w:rFonts w:hint="cs"/>
          <w:b w:val="0"/>
          <w:bCs w:val="0"/>
          <w:color w:val="000000"/>
          <w:rtl/>
        </w:rPr>
        <w:t>ما ساعد على تغطية جزء من النفقات الجارية وتقليل الاعتماد على التحويلات الخارجية لدعم الموازنة</w:t>
      </w:r>
      <w:r>
        <w:rPr>
          <w:rFonts w:hint="cs"/>
          <w:color w:val="000000"/>
          <w:rtl/>
        </w:rPr>
        <w:t>.</w:t>
      </w:r>
    </w:p>
    <w:p w:rsidR="00C743BA" w:rsidRPr="00165FD2" w:rsidRDefault="00C743BA" w:rsidP="00ED202D">
      <w:pPr>
        <w:pStyle w:val="Heading1"/>
        <w:keepNext w:val="0"/>
        <w:spacing w:before="240"/>
        <w:jc w:val="lowKashida"/>
        <w:rPr>
          <w:color w:val="000000"/>
          <w:rtl/>
        </w:rPr>
      </w:pPr>
      <w:r>
        <w:rPr>
          <w:rFonts w:hint="cs"/>
          <w:color w:val="000000"/>
          <w:rtl/>
        </w:rPr>
        <w:t xml:space="preserve">شكلت الإيرادات الضريبية </w:t>
      </w:r>
      <w:r w:rsidR="00ED202D">
        <w:rPr>
          <w:rFonts w:hint="cs"/>
          <w:color w:val="000000"/>
          <w:rtl/>
        </w:rPr>
        <w:t>23.6</w:t>
      </w:r>
      <w:r>
        <w:rPr>
          <w:rFonts w:hint="cs"/>
          <w:color w:val="000000"/>
          <w:rtl/>
        </w:rPr>
        <w:t xml:space="preserve">% من إجمالي الإيرادات العامة عام 2011 لتصل إلى </w:t>
      </w:r>
      <w:r w:rsidRPr="00081204">
        <w:rPr>
          <w:rFonts w:hint="cs"/>
          <w:color w:val="000000"/>
          <w:rtl/>
        </w:rPr>
        <w:t>482.3 مليون دولار</w:t>
      </w:r>
      <w:r>
        <w:rPr>
          <w:rFonts w:hint="cs"/>
          <w:color w:val="000000"/>
          <w:rtl/>
        </w:rPr>
        <w:t xml:space="preserve">، </w:t>
      </w:r>
      <w:r w:rsidRPr="00081204">
        <w:rPr>
          <w:rFonts w:hint="cs"/>
          <w:color w:val="000000"/>
          <w:rtl/>
        </w:rPr>
        <w:t>أي بزيادة 1.7% عن عام 2010</w:t>
      </w:r>
      <w:r>
        <w:rPr>
          <w:rFonts w:hint="cs"/>
          <w:color w:val="000000"/>
          <w:rtl/>
        </w:rPr>
        <w:t xml:space="preserve">. </w:t>
      </w:r>
      <w:r w:rsidRPr="00D47DC3">
        <w:rPr>
          <w:rFonts w:hint="cs"/>
          <w:b w:val="0"/>
          <w:bCs w:val="0"/>
          <w:color w:val="000000"/>
          <w:rtl/>
        </w:rPr>
        <w:t>وكما يتضح من شكل 16، فقد بلغ</w:t>
      </w:r>
      <w:r>
        <w:rPr>
          <w:rFonts w:hint="cs"/>
          <w:b w:val="0"/>
          <w:bCs w:val="0"/>
          <w:color w:val="000000"/>
          <w:rtl/>
        </w:rPr>
        <w:t>ت</w:t>
      </w:r>
      <w:r w:rsidRPr="00D47DC3">
        <w:rPr>
          <w:rFonts w:hint="cs"/>
          <w:b w:val="0"/>
          <w:bCs w:val="0"/>
          <w:color w:val="000000"/>
          <w:rtl/>
        </w:rPr>
        <w:t xml:space="preserve"> الإيرادات الضريبية المحصلة خلال عام 2011 أعلى قيمة لها منذ عام 2004</w:t>
      </w:r>
      <w:r>
        <w:rPr>
          <w:rFonts w:hint="cs"/>
          <w:color w:val="000000"/>
          <w:rtl/>
        </w:rPr>
        <w:t xml:space="preserve"> </w:t>
      </w:r>
      <w:r w:rsidRPr="00D47DC3">
        <w:rPr>
          <w:rFonts w:hint="cs"/>
          <w:b w:val="0"/>
          <w:bCs w:val="0"/>
          <w:color w:val="000000"/>
          <w:rtl/>
        </w:rPr>
        <w:t>نتيجة</w:t>
      </w:r>
      <w:r w:rsidRPr="00165FD2">
        <w:rPr>
          <w:rFonts w:hint="cs"/>
          <w:color w:val="000000"/>
          <w:rtl/>
        </w:rPr>
        <w:t xml:space="preserve"> </w:t>
      </w:r>
      <w:r w:rsidRPr="002E0A52">
        <w:rPr>
          <w:rFonts w:hint="cs"/>
          <w:b w:val="0"/>
          <w:bCs w:val="0"/>
          <w:color w:val="000000"/>
          <w:rtl/>
        </w:rPr>
        <w:t xml:space="preserve">الإصلاحات الحكومية </w:t>
      </w:r>
      <w:r>
        <w:rPr>
          <w:rFonts w:hint="cs"/>
          <w:b w:val="0"/>
          <w:bCs w:val="0"/>
          <w:color w:val="000000"/>
          <w:rtl/>
        </w:rPr>
        <w:t>التي</w:t>
      </w:r>
      <w:r w:rsidRPr="002E0A52">
        <w:rPr>
          <w:rFonts w:hint="cs"/>
          <w:b w:val="0"/>
          <w:bCs w:val="0"/>
          <w:color w:val="000000"/>
          <w:rtl/>
        </w:rPr>
        <w:t xml:space="preserve"> شهد</w:t>
      </w:r>
      <w:r>
        <w:rPr>
          <w:rFonts w:hint="cs"/>
          <w:b w:val="0"/>
          <w:bCs w:val="0"/>
          <w:color w:val="000000"/>
          <w:rtl/>
        </w:rPr>
        <w:t>ها</w:t>
      </w:r>
      <w:r w:rsidRPr="002E0A52">
        <w:rPr>
          <w:rFonts w:hint="cs"/>
          <w:b w:val="0"/>
          <w:bCs w:val="0"/>
          <w:color w:val="000000"/>
          <w:rtl/>
        </w:rPr>
        <w:t xml:space="preserve"> عام 2011 في مجال جباية الضرائب تماشيا مع خطة التنمية والإصلاح التي عكفت الحكومة على تنفيذها</w:t>
      </w:r>
      <w:r>
        <w:rPr>
          <w:rFonts w:hint="cs"/>
          <w:b w:val="0"/>
          <w:bCs w:val="0"/>
          <w:color w:val="000000"/>
          <w:rtl/>
        </w:rPr>
        <w:t xml:space="preserve">، ولكنه يظل متدنيا ويعكس ضعف القاعدة الضريبية للسلطة الوطنية. </w:t>
      </w:r>
    </w:p>
    <w:p w:rsidR="00C743BA" w:rsidRPr="00165FD2" w:rsidRDefault="00C743BA" w:rsidP="00C743BA">
      <w:pPr>
        <w:jc w:val="center"/>
        <w:rPr>
          <w:rFonts w:cs="Simplified Arabic"/>
          <w:b/>
          <w:bCs/>
          <w:color w:val="000000"/>
          <w:sz w:val="22"/>
          <w:szCs w:val="22"/>
          <w:rtl/>
        </w:rPr>
      </w:pPr>
    </w:p>
    <w:p w:rsidR="00C743BA" w:rsidRPr="00165FD2" w:rsidRDefault="00C743BA" w:rsidP="009C583A">
      <w:pPr>
        <w:jc w:val="center"/>
        <w:rPr>
          <w:rFonts w:cs="Simplified Arabic"/>
          <w:b/>
          <w:bCs/>
          <w:color w:val="000000"/>
          <w:sz w:val="22"/>
          <w:szCs w:val="22"/>
          <w:rtl/>
        </w:rPr>
      </w:pPr>
      <w:r w:rsidRPr="00165FD2">
        <w:rPr>
          <w:rFonts w:cs="Simplified Arabic" w:hint="cs"/>
          <w:b/>
          <w:bCs/>
          <w:color w:val="000000"/>
          <w:sz w:val="22"/>
          <w:szCs w:val="22"/>
          <w:rtl/>
        </w:rPr>
        <w:t>شكل</w:t>
      </w:r>
      <w:r w:rsidR="009C583A">
        <w:rPr>
          <w:rFonts w:cs="Simplified Arabic" w:hint="cs"/>
          <w:b/>
          <w:bCs/>
          <w:color w:val="000000"/>
          <w:sz w:val="22"/>
          <w:szCs w:val="22"/>
          <w:rtl/>
        </w:rPr>
        <w:t xml:space="preserve"> 16</w:t>
      </w:r>
      <w:r w:rsidRPr="00165FD2">
        <w:rPr>
          <w:rFonts w:cs="Simplified Arabic" w:hint="cs"/>
          <w:b/>
          <w:bCs/>
          <w:color w:val="000000"/>
          <w:sz w:val="22"/>
          <w:szCs w:val="22"/>
          <w:rtl/>
        </w:rPr>
        <w:t xml:space="preserve">: إجمالي الإيرادات الضريبية </w:t>
      </w:r>
      <w:r w:rsidR="00337D04">
        <w:rPr>
          <w:rFonts w:cs="Simplified Arabic" w:hint="cs"/>
          <w:b/>
          <w:bCs/>
          <w:sz w:val="22"/>
          <w:szCs w:val="22"/>
          <w:rtl/>
        </w:rPr>
        <w:t xml:space="preserve">في الاراضي </w:t>
      </w:r>
      <w:proofErr w:type="spellStart"/>
      <w:r w:rsidR="00337D04">
        <w:rPr>
          <w:rFonts w:cs="Simplified Arabic" w:hint="cs"/>
          <w:b/>
          <w:bCs/>
          <w:sz w:val="22"/>
          <w:szCs w:val="22"/>
          <w:rtl/>
        </w:rPr>
        <w:t>الفلسطينية</w:t>
      </w:r>
      <w:r w:rsidRPr="00165FD2">
        <w:rPr>
          <w:rFonts w:cs="Simplified Arabic" w:hint="cs"/>
          <w:b/>
          <w:bCs/>
          <w:color w:val="000000"/>
          <w:sz w:val="22"/>
          <w:szCs w:val="22"/>
          <w:rtl/>
        </w:rPr>
        <w:t>،</w:t>
      </w:r>
      <w:proofErr w:type="spellEnd"/>
      <w:r w:rsidRPr="00165FD2">
        <w:rPr>
          <w:rFonts w:cs="Simplified Arabic" w:hint="cs"/>
          <w:b/>
          <w:bCs/>
          <w:color w:val="000000"/>
          <w:sz w:val="22"/>
          <w:szCs w:val="22"/>
          <w:rtl/>
        </w:rPr>
        <w:t xml:space="preserve"> (2004-2011</w:t>
      </w:r>
      <w:proofErr w:type="spellStart"/>
      <w:r w:rsidRPr="00165FD2">
        <w:rPr>
          <w:rFonts w:cs="Simplified Arabic" w:hint="cs"/>
          <w:b/>
          <w:bCs/>
          <w:color w:val="000000"/>
          <w:sz w:val="22"/>
          <w:szCs w:val="22"/>
          <w:rtl/>
        </w:rPr>
        <w:t>)</w:t>
      </w:r>
      <w:proofErr w:type="spellEnd"/>
    </w:p>
    <w:p w:rsidR="00C743BA" w:rsidRDefault="00C743BA" w:rsidP="00C743BA">
      <w:pPr>
        <w:spacing w:after="120"/>
        <w:jc w:val="center"/>
        <w:rPr>
          <w:color w:val="000000"/>
          <w:rtl/>
        </w:rPr>
      </w:pPr>
      <w:r>
        <w:rPr>
          <w:noProof/>
          <w:color w:val="000000"/>
          <w:lang w:eastAsia="en-US"/>
        </w:rPr>
        <w:drawing>
          <wp:inline distT="0" distB="0" distL="0" distR="0">
            <wp:extent cx="4829175" cy="2933700"/>
            <wp:effectExtent l="0" t="0" r="0" b="0"/>
            <wp:docPr id="29"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743BA" w:rsidRPr="00367640" w:rsidRDefault="00C743BA" w:rsidP="00C743BA">
      <w:pPr>
        <w:rPr>
          <w:b/>
          <w:bCs/>
          <w:rtl/>
        </w:rPr>
      </w:pPr>
    </w:p>
    <w:p w:rsidR="00C743BA" w:rsidRDefault="00C743BA" w:rsidP="00C743BA">
      <w:pPr>
        <w:spacing w:before="240"/>
        <w:jc w:val="lowKashida"/>
        <w:rPr>
          <w:rFonts w:cs="Simplified Arabic"/>
          <w:b/>
          <w:bCs/>
          <w:color w:val="000000"/>
          <w:rtl/>
        </w:rPr>
      </w:pPr>
    </w:p>
    <w:p w:rsidR="00C743BA" w:rsidRDefault="00C743BA" w:rsidP="00C743BA">
      <w:pPr>
        <w:spacing w:before="240"/>
        <w:jc w:val="lowKashida"/>
        <w:rPr>
          <w:rFonts w:cs="Simplified Arabic"/>
          <w:b/>
          <w:bCs/>
          <w:color w:val="000000"/>
          <w:rtl/>
        </w:rPr>
      </w:pPr>
    </w:p>
    <w:p w:rsidR="00ED202D" w:rsidRDefault="00ED202D" w:rsidP="00C743BA">
      <w:pPr>
        <w:spacing w:before="240"/>
        <w:jc w:val="lowKashida"/>
        <w:rPr>
          <w:rFonts w:cs="Simplified Arabic"/>
          <w:b/>
          <w:bCs/>
          <w:color w:val="000000"/>
          <w:rtl/>
        </w:rPr>
      </w:pPr>
    </w:p>
    <w:p w:rsidR="00ED202D" w:rsidRDefault="00C743BA" w:rsidP="00C743BA">
      <w:pPr>
        <w:spacing w:before="240"/>
        <w:jc w:val="lowKashida"/>
        <w:rPr>
          <w:rFonts w:cs="Simplified Arabic"/>
          <w:color w:val="000000"/>
          <w:rtl/>
        </w:rPr>
      </w:pPr>
      <w:r>
        <w:rPr>
          <w:rFonts w:cs="Simplified Arabic" w:hint="cs"/>
          <w:b/>
          <w:bCs/>
          <w:color w:val="000000"/>
          <w:rtl/>
        </w:rPr>
        <w:lastRenderedPageBreak/>
        <w:t xml:space="preserve">من ناحية أخرى، </w:t>
      </w:r>
      <w:r w:rsidRPr="00367640">
        <w:rPr>
          <w:rFonts w:cs="Simplified Arabic" w:hint="cs"/>
          <w:b/>
          <w:bCs/>
          <w:color w:val="000000"/>
          <w:rtl/>
        </w:rPr>
        <w:t xml:space="preserve">ارتفعت إيرادات المقاصة بنسبة 13.0% </w:t>
      </w:r>
      <w:r>
        <w:rPr>
          <w:rFonts w:cs="Simplified Arabic" w:hint="cs"/>
          <w:b/>
          <w:bCs/>
          <w:color w:val="000000"/>
          <w:rtl/>
        </w:rPr>
        <w:t xml:space="preserve">خلال عام 2011 </w:t>
      </w:r>
      <w:r w:rsidRPr="00367640">
        <w:rPr>
          <w:rFonts w:cs="Simplified Arabic" w:hint="cs"/>
          <w:b/>
          <w:bCs/>
          <w:color w:val="000000"/>
          <w:rtl/>
        </w:rPr>
        <w:t xml:space="preserve">لتصل الى </w:t>
      </w:r>
      <w:r w:rsidRPr="00367640">
        <w:rPr>
          <w:rFonts w:cs="Simplified Arabic"/>
          <w:b/>
          <w:bCs/>
          <w:color w:val="000000"/>
        </w:rPr>
        <w:t>1,423.2</w:t>
      </w:r>
      <w:r w:rsidRPr="00367640">
        <w:rPr>
          <w:rFonts w:cs="Simplified Arabic" w:hint="cs"/>
          <w:b/>
          <w:bCs/>
          <w:color w:val="000000"/>
          <w:rtl/>
        </w:rPr>
        <w:t xml:space="preserve"> مليون </w:t>
      </w:r>
      <w:proofErr w:type="spellStart"/>
      <w:r w:rsidRPr="00367640">
        <w:rPr>
          <w:rFonts w:cs="Simplified Arabic" w:hint="cs"/>
          <w:b/>
          <w:bCs/>
          <w:color w:val="000000"/>
          <w:rtl/>
        </w:rPr>
        <w:t>دولار</w:t>
      </w:r>
      <w:r w:rsidRPr="00081204">
        <w:rPr>
          <w:rFonts w:cs="Simplified Arabic" w:hint="cs"/>
          <w:b/>
          <w:bCs/>
          <w:color w:val="000000"/>
          <w:rtl/>
        </w:rPr>
        <w:t>،</w:t>
      </w:r>
      <w:proofErr w:type="spellEnd"/>
      <w:r w:rsidRPr="00081204">
        <w:rPr>
          <w:rFonts w:cs="Simplified Arabic" w:hint="cs"/>
          <w:b/>
          <w:bCs/>
          <w:color w:val="000000"/>
          <w:rtl/>
        </w:rPr>
        <w:t xml:space="preserve"> مقابل </w:t>
      </w:r>
      <w:r w:rsidRPr="00081204">
        <w:rPr>
          <w:rFonts w:hint="cs"/>
          <w:b/>
          <w:bCs/>
          <w:color w:val="000000"/>
          <w:rtl/>
          <w:lang w:eastAsia="en-US"/>
        </w:rPr>
        <w:t>1,259.2</w:t>
      </w:r>
      <w:r w:rsidRPr="00081204">
        <w:rPr>
          <w:rFonts w:cs="Simplified Arabic" w:hint="cs"/>
          <w:b/>
          <w:bCs/>
          <w:color w:val="000000"/>
          <w:rtl/>
        </w:rPr>
        <w:t xml:space="preserve"> مليون دولار عام </w:t>
      </w:r>
      <w:proofErr w:type="spellStart"/>
      <w:r w:rsidRPr="00081204">
        <w:rPr>
          <w:rFonts w:cs="Simplified Arabic" w:hint="cs"/>
          <w:b/>
          <w:bCs/>
          <w:color w:val="000000"/>
          <w:rtl/>
        </w:rPr>
        <w:t>2010،</w:t>
      </w:r>
      <w:proofErr w:type="spellEnd"/>
      <w:r>
        <w:rPr>
          <w:rFonts w:cs="Simplified Arabic" w:hint="cs"/>
          <w:b/>
          <w:bCs/>
          <w:color w:val="000000"/>
          <w:rtl/>
        </w:rPr>
        <w:t xml:space="preserve"> تشكل ما نسبته </w:t>
      </w:r>
      <w:proofErr w:type="spellStart"/>
      <w:r>
        <w:rPr>
          <w:rFonts w:cs="Simplified Arabic" w:hint="cs"/>
          <w:b/>
          <w:bCs/>
          <w:color w:val="000000"/>
          <w:rtl/>
        </w:rPr>
        <w:t>69.6%</w:t>
      </w:r>
      <w:proofErr w:type="spellEnd"/>
      <w:r>
        <w:rPr>
          <w:rFonts w:cs="Simplified Arabic" w:hint="cs"/>
          <w:b/>
          <w:bCs/>
          <w:color w:val="000000"/>
          <w:rtl/>
        </w:rPr>
        <w:t xml:space="preserve"> من إجمالي الإيرادات عام 2011. </w:t>
      </w:r>
      <w:r>
        <w:rPr>
          <w:rFonts w:cs="Simplified Arabic" w:hint="cs"/>
          <w:color w:val="000000"/>
          <w:rtl/>
        </w:rPr>
        <w:t xml:space="preserve">ويمكن أن يعزى ذلك </w:t>
      </w:r>
      <w:r w:rsidRPr="00165FD2">
        <w:rPr>
          <w:rFonts w:cs="Simplified Arabic" w:hint="cs"/>
          <w:color w:val="000000"/>
          <w:rtl/>
        </w:rPr>
        <w:t>إلى وجود رقابة أك</w:t>
      </w:r>
      <w:r>
        <w:rPr>
          <w:rFonts w:cs="Simplified Arabic" w:hint="cs"/>
          <w:color w:val="000000"/>
          <w:rtl/>
        </w:rPr>
        <w:t>ب</w:t>
      </w:r>
      <w:r w:rsidRPr="00165FD2">
        <w:rPr>
          <w:rFonts w:cs="Simplified Arabic" w:hint="cs"/>
          <w:color w:val="000000"/>
          <w:rtl/>
        </w:rPr>
        <w:t xml:space="preserve">ر على التزام التجار </w:t>
      </w:r>
      <w:r>
        <w:rPr>
          <w:rFonts w:cs="Simplified Arabic" w:hint="cs"/>
          <w:color w:val="000000"/>
          <w:rtl/>
        </w:rPr>
        <w:t>ب</w:t>
      </w:r>
      <w:r w:rsidRPr="00165FD2">
        <w:rPr>
          <w:rFonts w:cs="Simplified Arabic" w:hint="cs"/>
          <w:color w:val="000000"/>
          <w:rtl/>
        </w:rPr>
        <w:t>تقديم</w:t>
      </w:r>
      <w:r>
        <w:rPr>
          <w:rFonts w:cs="Simplified Arabic" w:hint="cs"/>
          <w:color w:val="000000"/>
          <w:rtl/>
        </w:rPr>
        <w:t xml:space="preserve"> </w:t>
      </w:r>
      <w:r w:rsidRPr="00165FD2">
        <w:rPr>
          <w:rFonts w:cs="Simplified Arabic" w:hint="cs"/>
          <w:color w:val="000000"/>
          <w:rtl/>
        </w:rPr>
        <w:t xml:space="preserve">فواتير </w:t>
      </w:r>
      <w:r>
        <w:rPr>
          <w:rFonts w:cs="Simplified Arabic" w:hint="cs"/>
          <w:color w:val="000000"/>
          <w:rtl/>
        </w:rPr>
        <w:t xml:space="preserve">المقاصة، </w:t>
      </w:r>
      <w:r w:rsidRPr="00165FD2">
        <w:rPr>
          <w:rFonts w:cs="Simplified Arabic" w:hint="cs"/>
          <w:color w:val="000000"/>
          <w:rtl/>
        </w:rPr>
        <w:t xml:space="preserve">إضافة إلى </w:t>
      </w:r>
      <w:r>
        <w:rPr>
          <w:rFonts w:cs="Simplified Arabic" w:hint="cs"/>
          <w:color w:val="000000"/>
          <w:rtl/>
        </w:rPr>
        <w:t>ارتفاع</w:t>
      </w:r>
      <w:r w:rsidRPr="00165FD2">
        <w:rPr>
          <w:rFonts w:cs="Simplified Arabic" w:hint="cs"/>
          <w:color w:val="000000"/>
          <w:rtl/>
        </w:rPr>
        <w:t xml:space="preserve"> حجم الاستيراد من العالم الخارجي ومن إسرائيل</w:t>
      </w:r>
      <w:r>
        <w:rPr>
          <w:rFonts w:cs="Simplified Arabic" w:hint="cs"/>
          <w:color w:val="000000"/>
          <w:rtl/>
        </w:rPr>
        <w:t>، ولكنه يعكس مدى اعتماد الموازنة العامة للسلطة الوطنية على إسرائيل.</w:t>
      </w:r>
    </w:p>
    <w:p w:rsidR="00C743BA" w:rsidRPr="00165FD2" w:rsidRDefault="00C743BA" w:rsidP="00C743BA">
      <w:pPr>
        <w:spacing w:before="240"/>
        <w:jc w:val="lowKashida"/>
        <w:rPr>
          <w:rFonts w:ascii="Arial" w:hAnsi="Arial" w:cs="Simplified Arabic"/>
          <w:color w:val="000000"/>
          <w:rtl/>
          <w:lang w:eastAsia="en-US"/>
        </w:rPr>
      </w:pPr>
      <w:r w:rsidRPr="00165FD2">
        <w:rPr>
          <w:rFonts w:cs="Simplified Arabic" w:hint="cs"/>
          <w:color w:val="000000"/>
          <w:rtl/>
        </w:rPr>
        <w:t xml:space="preserve"> </w:t>
      </w:r>
    </w:p>
    <w:p w:rsidR="00C743BA" w:rsidRPr="00165FD2" w:rsidRDefault="00C743BA" w:rsidP="009C583A">
      <w:pPr>
        <w:pStyle w:val="Heading6"/>
        <w:rPr>
          <w:color w:val="000000"/>
          <w:rtl/>
        </w:rPr>
      </w:pPr>
      <w:r w:rsidRPr="00165FD2">
        <w:rPr>
          <w:rFonts w:hint="cs"/>
          <w:color w:val="000000"/>
          <w:rtl/>
        </w:rPr>
        <w:t>شكل</w:t>
      </w:r>
      <w:r w:rsidR="009C583A">
        <w:rPr>
          <w:rFonts w:hint="cs"/>
          <w:color w:val="000000"/>
          <w:rtl/>
        </w:rPr>
        <w:t xml:space="preserve"> 17</w:t>
      </w:r>
      <w:r w:rsidRPr="00165FD2">
        <w:rPr>
          <w:rFonts w:hint="cs"/>
          <w:color w:val="000000"/>
          <w:rtl/>
        </w:rPr>
        <w:t xml:space="preserve">: إجمالي إيرادات المقاصة </w:t>
      </w:r>
      <w:r w:rsidR="00117D76" w:rsidRPr="00117D76">
        <w:rPr>
          <w:rFonts w:hint="cs"/>
          <w:rtl/>
        </w:rPr>
        <w:t xml:space="preserve">في الاراضي </w:t>
      </w:r>
      <w:proofErr w:type="spellStart"/>
      <w:r w:rsidR="00117D76" w:rsidRPr="00117D76">
        <w:rPr>
          <w:rFonts w:hint="cs"/>
          <w:rtl/>
        </w:rPr>
        <w:t>الفلسطينية</w:t>
      </w:r>
      <w:r w:rsidRPr="00165FD2">
        <w:rPr>
          <w:rFonts w:hint="cs"/>
          <w:color w:val="000000"/>
          <w:rtl/>
        </w:rPr>
        <w:t>،</w:t>
      </w:r>
      <w:proofErr w:type="spellEnd"/>
      <w:r w:rsidRPr="00165FD2">
        <w:rPr>
          <w:rFonts w:hint="cs"/>
          <w:color w:val="000000"/>
          <w:rtl/>
        </w:rPr>
        <w:t xml:space="preserve"> (2004-2011</w:t>
      </w:r>
      <w:proofErr w:type="spellStart"/>
      <w:r w:rsidRPr="00165FD2">
        <w:rPr>
          <w:rFonts w:hint="cs"/>
          <w:color w:val="000000"/>
          <w:rtl/>
        </w:rPr>
        <w:t>)</w:t>
      </w:r>
      <w:proofErr w:type="spellEnd"/>
    </w:p>
    <w:p w:rsidR="00C743BA" w:rsidRPr="00165FD2" w:rsidRDefault="00C743BA" w:rsidP="00C743BA">
      <w:pPr>
        <w:spacing w:after="120"/>
        <w:jc w:val="center"/>
        <w:rPr>
          <w:rFonts w:cs="Simplified Arabic"/>
          <w:color w:val="000000"/>
          <w:rtl/>
        </w:rPr>
      </w:pPr>
      <w:r>
        <w:rPr>
          <w:noProof/>
          <w:color w:val="000000"/>
          <w:lang w:eastAsia="en-US"/>
        </w:rPr>
        <w:drawing>
          <wp:inline distT="0" distB="0" distL="0" distR="0">
            <wp:extent cx="5257800" cy="2571750"/>
            <wp:effectExtent l="19050" t="0" r="19050" b="0"/>
            <wp:docPr id="27"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743BA" w:rsidRPr="00165FD2" w:rsidRDefault="00C743BA" w:rsidP="00C743BA">
      <w:pPr>
        <w:rPr>
          <w:color w:val="000000"/>
          <w:rtl/>
        </w:rPr>
      </w:pPr>
    </w:p>
    <w:p w:rsidR="00C743BA" w:rsidRPr="00165FD2" w:rsidRDefault="00C743BA" w:rsidP="00C9194D">
      <w:pPr>
        <w:spacing w:before="240"/>
        <w:jc w:val="lowKashida"/>
        <w:rPr>
          <w:rFonts w:ascii="Arial" w:hAnsi="Arial" w:cs="Simplified Arabic"/>
          <w:color w:val="000000"/>
          <w:rtl/>
          <w:lang w:eastAsia="en-US"/>
        </w:rPr>
      </w:pPr>
      <w:r>
        <w:rPr>
          <w:rFonts w:cs="Simplified Arabic" w:hint="cs"/>
          <w:b/>
          <w:bCs/>
          <w:color w:val="000000"/>
          <w:rtl/>
        </w:rPr>
        <w:t xml:space="preserve">كما </w:t>
      </w:r>
      <w:r w:rsidRPr="00C675E7">
        <w:rPr>
          <w:rFonts w:cs="Simplified Arabic" w:hint="cs"/>
          <w:b/>
          <w:bCs/>
          <w:color w:val="000000"/>
          <w:rtl/>
        </w:rPr>
        <w:t>ارتفعت النفقات الحكومية بنسبة 8.0% خلال عام 2011</w:t>
      </w:r>
      <w:r>
        <w:rPr>
          <w:rFonts w:cs="Simplified Arabic" w:hint="cs"/>
          <w:b/>
          <w:bCs/>
          <w:color w:val="000000"/>
          <w:rtl/>
        </w:rPr>
        <w:t>،</w:t>
      </w:r>
      <w:r w:rsidRPr="00C675E7">
        <w:rPr>
          <w:rFonts w:cs="Simplified Arabic" w:hint="cs"/>
          <w:b/>
          <w:bCs/>
          <w:color w:val="000000"/>
          <w:rtl/>
        </w:rPr>
        <w:t xml:space="preserve"> لتصل إلى</w:t>
      </w:r>
      <w:r w:rsidRPr="00C675E7">
        <w:rPr>
          <w:rFonts w:hint="cs"/>
          <w:b/>
          <w:bCs/>
          <w:color w:val="000000"/>
          <w:rtl/>
        </w:rPr>
        <w:t xml:space="preserve"> </w:t>
      </w:r>
      <w:r w:rsidRPr="00C675E7">
        <w:rPr>
          <w:rFonts w:hint="cs"/>
          <w:b/>
          <w:bCs/>
          <w:color w:val="000000"/>
          <w:rtl/>
          <w:lang w:eastAsia="en-US"/>
        </w:rPr>
        <w:t>3,323.2</w:t>
      </w:r>
      <w:r w:rsidRPr="00C675E7">
        <w:rPr>
          <w:rFonts w:cs="Simplified Arabic" w:hint="cs"/>
          <w:b/>
          <w:bCs/>
          <w:color w:val="000000"/>
          <w:rtl/>
        </w:rPr>
        <w:t xml:space="preserve"> مليون دولار </w:t>
      </w:r>
      <w:r>
        <w:rPr>
          <w:rFonts w:cs="Simplified Arabic" w:hint="cs"/>
          <w:b/>
          <w:bCs/>
          <w:color w:val="000000"/>
          <w:rtl/>
        </w:rPr>
        <w:t>مقارنة مع</w:t>
      </w:r>
      <w:r w:rsidRPr="00C675E7">
        <w:rPr>
          <w:rFonts w:cs="Simplified Arabic" w:hint="cs"/>
          <w:b/>
          <w:bCs/>
          <w:color w:val="000000"/>
          <w:rtl/>
        </w:rPr>
        <w:t xml:space="preserve"> </w:t>
      </w:r>
      <w:r w:rsidRPr="00C675E7">
        <w:rPr>
          <w:rFonts w:hint="cs"/>
          <w:b/>
          <w:bCs/>
          <w:color w:val="000000"/>
          <w:rtl/>
          <w:lang w:eastAsia="en-US"/>
        </w:rPr>
        <w:t>3,076.8</w:t>
      </w:r>
      <w:r w:rsidRPr="00C675E7">
        <w:rPr>
          <w:rFonts w:ascii="Arial" w:hAnsi="Arial" w:cs="Simplified Arabic" w:hint="cs"/>
          <w:b/>
          <w:bCs/>
          <w:color w:val="000000"/>
          <w:rtl/>
          <w:lang w:eastAsia="en-US"/>
        </w:rPr>
        <w:t xml:space="preserve"> </w:t>
      </w:r>
      <w:r w:rsidRPr="00C675E7">
        <w:rPr>
          <w:rFonts w:cs="Simplified Arabic" w:hint="cs"/>
          <w:b/>
          <w:bCs/>
          <w:color w:val="000000"/>
          <w:rtl/>
        </w:rPr>
        <w:t>مليون دولار خلال عام 2010</w:t>
      </w:r>
      <w:r>
        <w:rPr>
          <w:rFonts w:cs="Simplified Arabic" w:hint="cs"/>
          <w:color w:val="000000"/>
          <w:rtl/>
        </w:rPr>
        <w:t>.</w:t>
      </w:r>
      <w:r w:rsidRPr="00165FD2">
        <w:rPr>
          <w:rFonts w:cs="Simplified Arabic" w:hint="cs"/>
          <w:color w:val="000000"/>
          <w:rtl/>
        </w:rPr>
        <w:t xml:space="preserve"> و</w:t>
      </w:r>
      <w:r>
        <w:rPr>
          <w:rFonts w:cs="Simplified Arabic" w:hint="cs"/>
          <w:color w:val="000000"/>
          <w:rtl/>
        </w:rPr>
        <w:t xml:space="preserve">يأتي </w:t>
      </w:r>
      <w:r w:rsidRPr="00165FD2">
        <w:rPr>
          <w:rFonts w:cs="Simplified Arabic" w:hint="cs"/>
          <w:color w:val="000000"/>
          <w:rtl/>
        </w:rPr>
        <w:t xml:space="preserve">هذا الارتفاع </w:t>
      </w:r>
      <w:r>
        <w:rPr>
          <w:rFonts w:cs="Simplified Arabic" w:hint="cs"/>
          <w:color w:val="000000"/>
          <w:rtl/>
        </w:rPr>
        <w:t xml:space="preserve">في النفقات الحكومية نتيجة ارتفاع </w:t>
      </w:r>
      <w:r w:rsidRPr="00165FD2">
        <w:rPr>
          <w:rFonts w:cs="Simplified Arabic" w:hint="cs"/>
          <w:color w:val="000000"/>
          <w:rtl/>
        </w:rPr>
        <w:t>فاتورة الأجور خلال عام 2011 بنسبة 10.</w:t>
      </w:r>
      <w:r>
        <w:rPr>
          <w:rFonts w:cs="Simplified Arabic" w:hint="cs"/>
          <w:color w:val="000000"/>
          <w:rtl/>
        </w:rPr>
        <w:t>4</w:t>
      </w:r>
      <w:r w:rsidRPr="00165FD2">
        <w:rPr>
          <w:rFonts w:cs="Simplified Arabic" w:hint="cs"/>
          <w:color w:val="000000"/>
          <w:rtl/>
        </w:rPr>
        <w:t xml:space="preserve">% </w:t>
      </w:r>
      <w:r>
        <w:rPr>
          <w:rFonts w:cs="Simplified Arabic" w:hint="cs"/>
          <w:color w:val="000000"/>
          <w:rtl/>
        </w:rPr>
        <w:t xml:space="preserve">وزيادة </w:t>
      </w:r>
      <w:r w:rsidRPr="00165FD2">
        <w:rPr>
          <w:rFonts w:cs="Simplified Arabic" w:hint="cs"/>
          <w:color w:val="000000"/>
          <w:rtl/>
        </w:rPr>
        <w:t xml:space="preserve">النفقات </w:t>
      </w:r>
      <w:r>
        <w:rPr>
          <w:rFonts w:cs="Simplified Arabic" w:hint="cs"/>
          <w:color w:val="000000"/>
          <w:rtl/>
        </w:rPr>
        <w:t>من</w:t>
      </w:r>
      <w:r w:rsidRPr="00165FD2">
        <w:rPr>
          <w:rFonts w:cs="Simplified Arabic" w:hint="cs"/>
          <w:color w:val="000000"/>
          <w:rtl/>
        </w:rPr>
        <w:t xml:space="preserve"> غير الأجور ب</w:t>
      </w:r>
      <w:r>
        <w:rPr>
          <w:rFonts w:cs="Simplified Arabic" w:hint="cs"/>
          <w:color w:val="000000"/>
          <w:rtl/>
        </w:rPr>
        <w:t xml:space="preserve">نسبة 14.2%. وقد بلغت فاتورة الأجور </w:t>
      </w:r>
      <w:r w:rsidRPr="00165FD2">
        <w:rPr>
          <w:rFonts w:hint="cs"/>
          <w:color w:val="000000"/>
          <w:rtl/>
          <w:lang w:eastAsia="en-US"/>
        </w:rPr>
        <w:t>1,78</w:t>
      </w:r>
      <w:r>
        <w:rPr>
          <w:rFonts w:hint="cs"/>
          <w:color w:val="000000"/>
          <w:rtl/>
          <w:lang w:eastAsia="en-US"/>
        </w:rPr>
        <w:t>2</w:t>
      </w:r>
      <w:r w:rsidRPr="00165FD2">
        <w:rPr>
          <w:rFonts w:hint="cs"/>
          <w:color w:val="000000"/>
          <w:rtl/>
          <w:lang w:eastAsia="en-US"/>
        </w:rPr>
        <w:t>.</w:t>
      </w:r>
      <w:r>
        <w:rPr>
          <w:rFonts w:hint="cs"/>
          <w:color w:val="000000"/>
          <w:rtl/>
          <w:lang w:eastAsia="en-US"/>
        </w:rPr>
        <w:t>4</w:t>
      </w:r>
      <w:r w:rsidRPr="00165FD2">
        <w:rPr>
          <w:rFonts w:cs="Simplified Arabic" w:hint="cs"/>
          <w:color w:val="000000"/>
          <w:rtl/>
        </w:rPr>
        <w:t xml:space="preserve"> مليون دولار</w:t>
      </w:r>
      <w:r>
        <w:rPr>
          <w:rFonts w:cs="Simplified Arabic" w:hint="cs"/>
          <w:color w:val="000000"/>
          <w:rtl/>
        </w:rPr>
        <w:t xml:space="preserve"> خلال العام 2011، وهو </w:t>
      </w:r>
      <w:r w:rsidRPr="00165FD2">
        <w:rPr>
          <w:rFonts w:cs="Simplified Arabic" w:hint="cs"/>
          <w:color w:val="000000"/>
          <w:rtl/>
        </w:rPr>
        <w:t xml:space="preserve">أعلى مستوى لها </w:t>
      </w:r>
      <w:r>
        <w:rPr>
          <w:rFonts w:cs="Simplified Arabic" w:hint="cs"/>
          <w:color w:val="000000"/>
          <w:rtl/>
        </w:rPr>
        <w:t>منذ عام 2004</w:t>
      </w:r>
      <w:r w:rsidRPr="00165FD2">
        <w:rPr>
          <w:rFonts w:cs="Simplified Arabic" w:hint="cs"/>
          <w:color w:val="000000"/>
          <w:rtl/>
        </w:rPr>
        <w:t>.</w:t>
      </w:r>
      <w:r w:rsidRPr="00C675E7">
        <w:rPr>
          <w:rFonts w:cs="Simplified Arabic" w:hint="cs"/>
          <w:color w:val="000000"/>
          <w:rtl/>
        </w:rPr>
        <w:t xml:space="preserve"> </w:t>
      </w:r>
      <w:r>
        <w:rPr>
          <w:rFonts w:cs="Simplified Arabic" w:hint="cs"/>
          <w:color w:val="000000"/>
          <w:rtl/>
        </w:rPr>
        <w:t xml:space="preserve">وكما يتضح من الشكلين 18 و19، </w:t>
      </w:r>
      <w:r w:rsidRPr="00165FD2">
        <w:rPr>
          <w:rFonts w:cs="Simplified Arabic" w:hint="cs"/>
          <w:color w:val="000000"/>
          <w:rtl/>
        </w:rPr>
        <w:t xml:space="preserve">تعتبر الرواتب والأجور أبرز مكونات الإنفاق الحكومي في الأراضي الفلسطينية حيث تشكل ما نسبته </w:t>
      </w:r>
      <w:r>
        <w:rPr>
          <w:rFonts w:cs="Simplified Arabic" w:hint="cs"/>
          <w:color w:val="000000"/>
          <w:rtl/>
        </w:rPr>
        <w:t>52.0</w:t>
      </w:r>
      <w:r w:rsidRPr="00165FD2">
        <w:rPr>
          <w:rFonts w:cs="Simplified Arabic" w:hint="cs"/>
          <w:color w:val="000000"/>
          <w:rtl/>
        </w:rPr>
        <w:t xml:space="preserve">% </w:t>
      </w:r>
      <w:r w:rsidR="005B0657">
        <w:rPr>
          <w:rFonts w:cs="Simplified Arabic" w:hint="cs"/>
          <w:color w:val="000000"/>
          <w:rtl/>
        </w:rPr>
        <w:t>و</w:t>
      </w:r>
      <w:r>
        <w:rPr>
          <w:rFonts w:cs="Simplified Arabic" w:hint="cs"/>
          <w:color w:val="000000"/>
          <w:rtl/>
        </w:rPr>
        <w:t xml:space="preserve">54.0% </w:t>
      </w:r>
      <w:r w:rsidRPr="00165FD2">
        <w:rPr>
          <w:rFonts w:cs="Simplified Arabic" w:hint="cs"/>
          <w:color w:val="000000"/>
          <w:rtl/>
        </w:rPr>
        <w:t>من إجمالي النفقات</w:t>
      </w:r>
      <w:r>
        <w:rPr>
          <w:rFonts w:cs="Simplified Arabic" w:hint="cs"/>
          <w:color w:val="000000"/>
          <w:rtl/>
        </w:rPr>
        <w:t xml:space="preserve"> خلال العامين 2010 </w:t>
      </w:r>
      <w:r w:rsidR="005B0657">
        <w:rPr>
          <w:rFonts w:cs="Simplified Arabic" w:hint="cs"/>
          <w:color w:val="000000"/>
          <w:rtl/>
        </w:rPr>
        <w:t>و</w:t>
      </w:r>
      <w:r>
        <w:rPr>
          <w:rFonts w:cs="Simplified Arabic" w:hint="cs"/>
          <w:color w:val="000000"/>
          <w:rtl/>
        </w:rPr>
        <w:t xml:space="preserve"> 2011</w:t>
      </w:r>
      <w:r w:rsidRPr="00165FD2">
        <w:rPr>
          <w:rFonts w:ascii="Arial" w:hAnsi="Arial" w:cs="Simplified Arabic" w:hint="cs"/>
          <w:color w:val="000000"/>
          <w:rtl/>
          <w:lang w:eastAsia="en-US"/>
        </w:rPr>
        <w:t>.</w:t>
      </w:r>
    </w:p>
    <w:tbl>
      <w:tblPr>
        <w:tblpPr w:leftFromText="180" w:rightFromText="180" w:vertAnchor="text" w:horzAnchor="margin" w:tblpXSpec="center" w:tblpY="491"/>
        <w:bidiVisual/>
        <w:tblW w:w="9825" w:type="dxa"/>
        <w:tblLook w:val="0000"/>
      </w:tblPr>
      <w:tblGrid>
        <w:gridCol w:w="4686"/>
        <w:gridCol w:w="5139"/>
      </w:tblGrid>
      <w:tr w:rsidR="008F51FA" w:rsidRPr="00165FD2" w:rsidTr="008F51FA">
        <w:trPr>
          <w:trHeight w:val="3299"/>
        </w:trPr>
        <w:tc>
          <w:tcPr>
            <w:tcW w:w="4686" w:type="dxa"/>
          </w:tcPr>
          <w:p w:rsidR="008F51FA" w:rsidRPr="00165FD2" w:rsidRDefault="008F51FA" w:rsidP="009C583A">
            <w:pPr>
              <w:pStyle w:val="Heading7"/>
              <w:jc w:val="center"/>
              <w:rPr>
                <w:color w:val="000000"/>
                <w:rtl/>
              </w:rPr>
            </w:pPr>
            <w:r w:rsidRPr="00165FD2">
              <w:rPr>
                <w:rFonts w:hint="cs"/>
                <w:color w:val="000000"/>
                <w:rtl/>
              </w:rPr>
              <w:t>شكل</w:t>
            </w:r>
            <w:r w:rsidR="009C583A">
              <w:rPr>
                <w:rFonts w:hint="cs"/>
                <w:color w:val="000000"/>
                <w:rtl/>
              </w:rPr>
              <w:t xml:space="preserve"> 18</w:t>
            </w:r>
            <w:r w:rsidRPr="00165FD2">
              <w:rPr>
                <w:rFonts w:hint="cs"/>
                <w:color w:val="000000"/>
                <w:rtl/>
              </w:rPr>
              <w:t>: التوزيع النسبي لإجمالي النفقات وصافي الإقراض</w:t>
            </w:r>
            <w:r w:rsidR="002850FD" w:rsidRPr="002850FD">
              <w:rPr>
                <w:rFonts w:hint="cs"/>
                <w:rtl/>
              </w:rPr>
              <w:t xml:space="preserve"> في</w:t>
            </w:r>
            <w:r w:rsidR="002850FD">
              <w:rPr>
                <w:rFonts w:hint="cs"/>
                <w:b w:val="0"/>
                <w:bCs w:val="0"/>
                <w:rtl/>
              </w:rPr>
              <w:t xml:space="preserve"> </w:t>
            </w:r>
            <w:r w:rsidR="002850FD" w:rsidRPr="002850FD">
              <w:rPr>
                <w:rFonts w:hint="cs"/>
                <w:rtl/>
              </w:rPr>
              <w:t xml:space="preserve">الاراضي </w:t>
            </w:r>
            <w:proofErr w:type="spellStart"/>
            <w:r w:rsidR="002850FD" w:rsidRPr="002850FD">
              <w:rPr>
                <w:rFonts w:hint="cs"/>
                <w:rtl/>
              </w:rPr>
              <w:t>الفلسطينية</w:t>
            </w:r>
            <w:r w:rsidR="002850FD">
              <w:rPr>
                <w:rFonts w:hint="cs"/>
                <w:color w:val="000000"/>
                <w:rtl/>
              </w:rPr>
              <w:t>،</w:t>
            </w:r>
            <w:proofErr w:type="spellEnd"/>
            <w:r w:rsidR="002850FD" w:rsidRPr="00165FD2">
              <w:rPr>
                <w:rFonts w:hint="cs"/>
                <w:color w:val="000000"/>
                <w:rtl/>
              </w:rPr>
              <w:t xml:space="preserve"> </w:t>
            </w:r>
            <w:r w:rsidRPr="00165FD2">
              <w:rPr>
                <w:rFonts w:hint="cs"/>
                <w:color w:val="000000"/>
                <w:rtl/>
              </w:rPr>
              <w:t>2010</w:t>
            </w:r>
          </w:p>
          <w:p w:rsidR="008F51FA" w:rsidRPr="00165FD2" w:rsidRDefault="008F51FA" w:rsidP="008F51FA">
            <w:pPr>
              <w:spacing w:after="120"/>
              <w:jc w:val="lowKashida"/>
              <w:rPr>
                <w:rFonts w:cs="Simplified Arabic"/>
                <w:color w:val="000000"/>
              </w:rPr>
            </w:pPr>
            <w:r>
              <w:rPr>
                <w:noProof/>
                <w:color w:val="000000"/>
                <w:lang w:eastAsia="en-US"/>
              </w:rPr>
              <w:drawing>
                <wp:inline distT="0" distB="0" distL="0" distR="0">
                  <wp:extent cx="2809875" cy="1743075"/>
                  <wp:effectExtent l="19050" t="0" r="9525" b="0"/>
                  <wp:docPr id="22"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5139" w:type="dxa"/>
          </w:tcPr>
          <w:p w:rsidR="008F51FA" w:rsidRPr="00165FD2" w:rsidRDefault="008F51FA" w:rsidP="009C583A">
            <w:pPr>
              <w:jc w:val="center"/>
              <w:rPr>
                <w:rFonts w:cs="Simplified Arabic"/>
                <w:color w:val="000000"/>
                <w:rtl/>
              </w:rPr>
            </w:pPr>
            <w:r w:rsidRPr="00165FD2">
              <w:rPr>
                <w:rFonts w:cs="Simplified Arabic" w:hint="cs"/>
                <w:b/>
                <w:bCs/>
                <w:color w:val="000000"/>
                <w:sz w:val="22"/>
                <w:szCs w:val="22"/>
                <w:rtl/>
              </w:rPr>
              <w:t>شكل</w:t>
            </w:r>
            <w:r w:rsidR="009C583A">
              <w:rPr>
                <w:rFonts w:cs="Simplified Arabic" w:hint="cs"/>
                <w:b/>
                <w:bCs/>
                <w:color w:val="000000"/>
                <w:sz w:val="22"/>
                <w:szCs w:val="22"/>
                <w:rtl/>
              </w:rPr>
              <w:t xml:space="preserve"> 19</w:t>
            </w:r>
            <w:r w:rsidRPr="00165FD2">
              <w:rPr>
                <w:rFonts w:cs="Simplified Arabic" w:hint="cs"/>
                <w:b/>
                <w:bCs/>
                <w:color w:val="000000"/>
                <w:sz w:val="22"/>
                <w:szCs w:val="22"/>
                <w:rtl/>
              </w:rPr>
              <w:t>: التوزيع النسبي لإجمالي النفقات وصافي الإقراض</w:t>
            </w:r>
            <w:r w:rsidR="002850FD">
              <w:rPr>
                <w:rFonts w:cs="Simplified Arabic" w:hint="cs"/>
                <w:b/>
                <w:bCs/>
                <w:sz w:val="22"/>
                <w:szCs w:val="22"/>
                <w:rtl/>
              </w:rPr>
              <w:t xml:space="preserve"> في الاراضي </w:t>
            </w:r>
            <w:proofErr w:type="spellStart"/>
            <w:r w:rsidR="002850FD">
              <w:rPr>
                <w:rFonts w:cs="Simplified Arabic" w:hint="cs"/>
                <w:b/>
                <w:bCs/>
                <w:sz w:val="22"/>
                <w:szCs w:val="22"/>
                <w:rtl/>
              </w:rPr>
              <w:t>الفلسطينية</w:t>
            </w:r>
            <w:r w:rsidR="002850FD">
              <w:rPr>
                <w:rFonts w:cs="Simplified Arabic" w:hint="cs"/>
                <w:b/>
                <w:bCs/>
                <w:color w:val="000000"/>
                <w:sz w:val="22"/>
                <w:szCs w:val="22"/>
                <w:rtl/>
              </w:rPr>
              <w:t>،</w:t>
            </w:r>
            <w:proofErr w:type="spellEnd"/>
            <w:r w:rsidRPr="00165FD2">
              <w:rPr>
                <w:rFonts w:cs="Simplified Arabic" w:hint="cs"/>
                <w:b/>
                <w:bCs/>
                <w:color w:val="000000"/>
                <w:sz w:val="22"/>
                <w:szCs w:val="22"/>
                <w:rtl/>
              </w:rPr>
              <w:t xml:space="preserve"> 201</w:t>
            </w:r>
            <w:r w:rsidR="002850FD">
              <w:rPr>
                <w:rFonts w:cs="Simplified Arabic" w:hint="cs"/>
                <w:b/>
                <w:bCs/>
                <w:color w:val="000000"/>
                <w:sz w:val="22"/>
                <w:szCs w:val="22"/>
                <w:rtl/>
              </w:rPr>
              <w:t>1</w:t>
            </w:r>
          </w:p>
          <w:p w:rsidR="008F51FA" w:rsidRPr="00165FD2" w:rsidRDefault="008F51FA" w:rsidP="008F51FA">
            <w:pPr>
              <w:spacing w:after="120"/>
              <w:jc w:val="lowKashida"/>
              <w:rPr>
                <w:rFonts w:cs="Simplified Arabic"/>
                <w:color w:val="000000"/>
              </w:rPr>
            </w:pPr>
            <w:r>
              <w:rPr>
                <w:noProof/>
                <w:color w:val="000000"/>
                <w:lang w:eastAsia="en-US"/>
              </w:rPr>
              <w:drawing>
                <wp:inline distT="0" distB="0" distL="0" distR="0">
                  <wp:extent cx="2886075" cy="1743075"/>
                  <wp:effectExtent l="19050" t="0" r="9525" b="0"/>
                  <wp:docPr id="24"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C743BA" w:rsidRPr="00C675E7" w:rsidRDefault="00C743BA" w:rsidP="00C743BA">
      <w:pPr>
        <w:rPr>
          <w:rtl/>
        </w:rPr>
      </w:pPr>
    </w:p>
    <w:p w:rsidR="00C743BA" w:rsidRDefault="00C743BA" w:rsidP="00BA1BFE">
      <w:pPr>
        <w:spacing w:before="240"/>
        <w:jc w:val="lowKashida"/>
        <w:rPr>
          <w:rFonts w:cs="Simplified Arabic"/>
          <w:color w:val="000000"/>
          <w:rtl/>
          <w:lang w:eastAsia="en-US"/>
        </w:rPr>
      </w:pPr>
      <w:r w:rsidRPr="005A2E97">
        <w:rPr>
          <w:rFonts w:cs="Simplified Arabic" w:hint="cs"/>
          <w:b/>
          <w:bCs/>
          <w:color w:val="000000"/>
          <w:rtl/>
        </w:rPr>
        <w:lastRenderedPageBreak/>
        <w:t xml:space="preserve">ارتفعت قيمة العجز في موازنة السلطة الوطنية الفلسطينية بنسبة 11.2% عام 2011 مقارنة بالعام 2010 ليصل إلى </w:t>
      </w:r>
      <w:r w:rsidRPr="005A2E97">
        <w:rPr>
          <w:rFonts w:cs="Simplified Arabic"/>
          <w:b/>
          <w:bCs/>
          <w:color w:val="000000"/>
          <w:lang w:eastAsia="en-US"/>
        </w:rPr>
        <w:t>1,278.3</w:t>
      </w:r>
      <w:r w:rsidRPr="005A2E97">
        <w:rPr>
          <w:rFonts w:cs="Simplified Arabic" w:hint="cs"/>
          <w:b/>
          <w:bCs/>
          <w:color w:val="000000"/>
          <w:rtl/>
          <w:lang w:eastAsia="en-US"/>
        </w:rPr>
        <w:t xml:space="preserve"> مليون دولا</w:t>
      </w:r>
      <w:r w:rsidRPr="005A2E97">
        <w:rPr>
          <w:rFonts w:cs="Simplified Arabic" w:hint="eastAsia"/>
          <w:b/>
          <w:bCs/>
          <w:color w:val="000000"/>
          <w:rtl/>
          <w:lang w:eastAsia="en-US"/>
        </w:rPr>
        <w:t>ر</w:t>
      </w:r>
      <w:r w:rsidRPr="005A2E97">
        <w:rPr>
          <w:rFonts w:hint="cs"/>
          <w:b/>
          <w:bCs/>
          <w:color w:val="000000"/>
          <w:rtl/>
          <w:lang w:eastAsia="en-US"/>
        </w:rPr>
        <w:t>.</w:t>
      </w:r>
      <w:r w:rsidRPr="00755E81">
        <w:rPr>
          <w:rFonts w:cs="Simplified Arabic" w:hint="cs"/>
          <w:color w:val="000000"/>
          <w:rtl/>
        </w:rPr>
        <w:t xml:space="preserve"> </w:t>
      </w:r>
      <w:r>
        <w:rPr>
          <w:rFonts w:cs="Simplified Arabic" w:hint="cs"/>
          <w:color w:val="000000"/>
          <w:rtl/>
        </w:rPr>
        <w:t>ويعزى ذلك إلى ارتفاع النفقات الحكومية بمستوى أعلى من الارتفاع الحاصل في الإيرادات الحكومية. وقد رافق ذلك انخفاض في مستوى</w:t>
      </w:r>
      <w:r w:rsidRPr="00165FD2">
        <w:rPr>
          <w:rFonts w:cs="Simplified Arabic" w:hint="cs"/>
          <w:color w:val="000000"/>
          <w:rtl/>
        </w:rPr>
        <w:t xml:space="preserve"> الدعم الخارجي لسد العجز في موازنة السلطة الوطنية الفلسطينية بنسبة </w:t>
      </w:r>
      <w:r w:rsidR="00BA1BFE">
        <w:rPr>
          <w:rFonts w:cs="Simplified Arabic" w:hint="cs"/>
          <w:color w:val="000000"/>
          <w:rtl/>
        </w:rPr>
        <w:t>29.0</w:t>
      </w:r>
      <w:r w:rsidRPr="00165FD2">
        <w:rPr>
          <w:rFonts w:cs="Simplified Arabic" w:hint="cs"/>
          <w:color w:val="000000"/>
          <w:rtl/>
        </w:rPr>
        <w:t>%</w:t>
      </w:r>
      <w:r>
        <w:rPr>
          <w:rFonts w:cs="Simplified Arabic" w:hint="cs"/>
          <w:color w:val="000000"/>
          <w:rtl/>
        </w:rPr>
        <w:t>،</w:t>
      </w:r>
      <w:r w:rsidRPr="00165FD2">
        <w:rPr>
          <w:rFonts w:cs="Simplified Arabic" w:hint="cs"/>
          <w:color w:val="000000"/>
          <w:rtl/>
        </w:rPr>
        <w:t xml:space="preserve"> حيث بلغ إجمالي قيمة الدعم الخارجي</w:t>
      </w:r>
      <w:r w:rsidRPr="00165FD2">
        <w:rPr>
          <w:rFonts w:hint="cs"/>
          <w:color w:val="000000"/>
          <w:rtl/>
        </w:rPr>
        <w:t xml:space="preserve"> </w:t>
      </w:r>
      <w:r w:rsidRPr="00165FD2">
        <w:rPr>
          <w:rFonts w:hint="cs"/>
          <w:color w:val="000000"/>
          <w:rtl/>
          <w:lang w:eastAsia="en-US"/>
        </w:rPr>
        <w:t>814.</w:t>
      </w:r>
      <w:r>
        <w:rPr>
          <w:rFonts w:hint="cs"/>
          <w:color w:val="000000"/>
          <w:rtl/>
          <w:lang w:eastAsia="en-US"/>
        </w:rPr>
        <w:t>3</w:t>
      </w:r>
      <w:r w:rsidRPr="00165FD2">
        <w:rPr>
          <w:rFonts w:cs="Simplified Arabic" w:hint="cs"/>
          <w:color w:val="000000"/>
          <w:rtl/>
        </w:rPr>
        <w:t xml:space="preserve"> مليون دولار </w:t>
      </w:r>
      <w:r>
        <w:rPr>
          <w:rFonts w:cs="Simplified Arabic" w:hint="cs"/>
          <w:color w:val="000000"/>
          <w:rtl/>
        </w:rPr>
        <w:t>مقارنة مع</w:t>
      </w:r>
      <w:r w:rsidRPr="00165FD2">
        <w:rPr>
          <w:rFonts w:cs="Simplified Arabic" w:hint="cs"/>
          <w:color w:val="000000"/>
          <w:rtl/>
        </w:rPr>
        <w:t xml:space="preserve"> </w:t>
      </w:r>
      <w:r w:rsidRPr="00165FD2">
        <w:rPr>
          <w:rFonts w:hint="cs"/>
          <w:color w:val="000000"/>
          <w:rtl/>
          <w:lang w:eastAsia="en-US"/>
        </w:rPr>
        <w:t>1,146.</w:t>
      </w:r>
      <w:r>
        <w:rPr>
          <w:rFonts w:hint="cs"/>
          <w:color w:val="000000"/>
          <w:rtl/>
          <w:lang w:eastAsia="en-US"/>
        </w:rPr>
        <w:t>8</w:t>
      </w:r>
      <w:r w:rsidRPr="00165FD2">
        <w:rPr>
          <w:rFonts w:cs="Simplified Arabic" w:hint="cs"/>
          <w:color w:val="000000"/>
          <w:rtl/>
        </w:rPr>
        <w:t xml:space="preserve"> مليون دولار عام 2010.</w:t>
      </w:r>
    </w:p>
    <w:p w:rsidR="00C743BA" w:rsidRPr="00165FD2" w:rsidRDefault="00C743BA" w:rsidP="00C743BA">
      <w:pPr>
        <w:jc w:val="lowKashida"/>
        <w:rPr>
          <w:rFonts w:cs="Simplified Arabic"/>
          <w:color w:val="000000"/>
          <w:rtl/>
          <w:lang w:eastAsia="en-US"/>
        </w:rPr>
      </w:pPr>
    </w:p>
    <w:p w:rsidR="00C743BA" w:rsidRPr="00165FD2" w:rsidRDefault="00C743BA" w:rsidP="002850FD">
      <w:pPr>
        <w:jc w:val="center"/>
        <w:rPr>
          <w:rFonts w:cs="Simplified Arabic"/>
          <w:b/>
          <w:bCs/>
          <w:color w:val="000000"/>
          <w:sz w:val="22"/>
          <w:szCs w:val="22"/>
          <w:rtl/>
        </w:rPr>
      </w:pPr>
      <w:r w:rsidRPr="00165FD2">
        <w:rPr>
          <w:rFonts w:cs="Simplified Arabic" w:hint="cs"/>
          <w:b/>
          <w:bCs/>
          <w:color w:val="000000"/>
          <w:sz w:val="22"/>
          <w:szCs w:val="22"/>
          <w:rtl/>
        </w:rPr>
        <w:t>شكل 2</w:t>
      </w:r>
      <w:r>
        <w:rPr>
          <w:rFonts w:cs="Simplified Arabic" w:hint="cs"/>
          <w:b/>
          <w:bCs/>
          <w:color w:val="000000"/>
          <w:sz w:val="22"/>
          <w:szCs w:val="22"/>
          <w:rtl/>
        </w:rPr>
        <w:t>0</w:t>
      </w:r>
      <w:r w:rsidRPr="00165FD2">
        <w:rPr>
          <w:rFonts w:cs="Simplified Arabic" w:hint="cs"/>
          <w:b/>
          <w:bCs/>
          <w:color w:val="000000"/>
          <w:sz w:val="22"/>
          <w:szCs w:val="22"/>
          <w:rtl/>
        </w:rPr>
        <w:t xml:space="preserve">: عجز الموازنة العامة </w:t>
      </w:r>
      <w:r w:rsidR="002850FD">
        <w:rPr>
          <w:rFonts w:cs="Simplified Arabic" w:hint="cs"/>
          <w:b/>
          <w:bCs/>
          <w:sz w:val="22"/>
          <w:szCs w:val="22"/>
          <w:rtl/>
        </w:rPr>
        <w:t xml:space="preserve">في الاراضي </w:t>
      </w:r>
      <w:proofErr w:type="spellStart"/>
      <w:r w:rsidR="002850FD">
        <w:rPr>
          <w:rFonts w:cs="Simplified Arabic" w:hint="cs"/>
          <w:b/>
          <w:bCs/>
          <w:sz w:val="22"/>
          <w:szCs w:val="22"/>
          <w:rtl/>
        </w:rPr>
        <w:t>الفلسطينية</w:t>
      </w:r>
      <w:r w:rsidRPr="00165FD2">
        <w:rPr>
          <w:rFonts w:cs="Simplified Arabic" w:hint="cs"/>
          <w:b/>
          <w:bCs/>
          <w:color w:val="000000"/>
          <w:sz w:val="22"/>
          <w:szCs w:val="22"/>
          <w:rtl/>
        </w:rPr>
        <w:t>،</w:t>
      </w:r>
      <w:proofErr w:type="spellEnd"/>
      <w:r w:rsidRPr="00165FD2">
        <w:rPr>
          <w:rFonts w:cs="Simplified Arabic" w:hint="cs"/>
          <w:b/>
          <w:bCs/>
          <w:color w:val="000000"/>
          <w:sz w:val="22"/>
          <w:szCs w:val="22"/>
          <w:rtl/>
        </w:rPr>
        <w:t xml:space="preserve"> (2004-2011</w:t>
      </w:r>
      <w:proofErr w:type="spellStart"/>
      <w:r w:rsidRPr="00165FD2">
        <w:rPr>
          <w:rFonts w:cs="Simplified Arabic" w:hint="cs"/>
          <w:b/>
          <w:bCs/>
          <w:color w:val="000000"/>
          <w:sz w:val="22"/>
          <w:szCs w:val="22"/>
          <w:rtl/>
        </w:rPr>
        <w:t>)</w:t>
      </w:r>
      <w:proofErr w:type="spellEnd"/>
    </w:p>
    <w:p w:rsidR="00C743BA" w:rsidRDefault="00C743BA" w:rsidP="00C743BA">
      <w:pPr>
        <w:spacing w:after="120"/>
        <w:jc w:val="center"/>
        <w:rPr>
          <w:rFonts w:cs="Simplified Arabic"/>
          <w:color w:val="000000"/>
          <w:rtl/>
        </w:rPr>
      </w:pPr>
      <w:r>
        <w:rPr>
          <w:noProof/>
          <w:color w:val="000000"/>
          <w:lang w:eastAsia="en-US"/>
        </w:rPr>
        <w:drawing>
          <wp:inline distT="0" distB="0" distL="0" distR="0">
            <wp:extent cx="5143500" cy="2867025"/>
            <wp:effectExtent l="0" t="0" r="0" b="0"/>
            <wp:docPr id="17" name="Objec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C743BA" w:rsidRDefault="00C743BA" w:rsidP="00C743BA">
      <w:pPr>
        <w:spacing w:after="120"/>
        <w:jc w:val="center"/>
        <w:rPr>
          <w:rFonts w:cs="Simplified Arabic"/>
          <w:color w:val="000000"/>
          <w:rtl/>
        </w:rPr>
      </w:pPr>
    </w:p>
    <w:p w:rsidR="00C743BA" w:rsidRPr="00165FD2" w:rsidRDefault="00C743BA" w:rsidP="00C743BA">
      <w:pPr>
        <w:rPr>
          <w:rFonts w:cs="Simplified Arabic"/>
          <w:color w:val="000000"/>
          <w:sz w:val="18"/>
          <w:szCs w:val="18"/>
          <w:rtl/>
        </w:rPr>
      </w:pPr>
    </w:p>
    <w:p w:rsidR="00C743BA" w:rsidRPr="00165FD2" w:rsidRDefault="00C743BA" w:rsidP="00C743BA">
      <w:pPr>
        <w:pStyle w:val="Heading3"/>
        <w:rPr>
          <w:color w:val="000000"/>
          <w:rtl/>
        </w:rPr>
      </w:pPr>
      <w:r>
        <w:rPr>
          <w:rFonts w:hint="cs"/>
          <w:color w:val="000000"/>
          <w:rtl/>
        </w:rPr>
        <w:t>8</w:t>
      </w:r>
      <w:r w:rsidRPr="00165FD2">
        <w:rPr>
          <w:rFonts w:hint="cs"/>
          <w:color w:val="000000"/>
          <w:rtl/>
        </w:rPr>
        <w:t>- القطاع المصرفي</w:t>
      </w:r>
    </w:p>
    <w:p w:rsidR="00C743BA" w:rsidRPr="002A7E40" w:rsidRDefault="00C743BA" w:rsidP="0074393A">
      <w:pPr>
        <w:pStyle w:val="BodyText"/>
        <w:spacing w:before="240"/>
        <w:rPr>
          <w:b/>
          <w:bCs/>
          <w:color w:val="000000"/>
          <w:rtl/>
        </w:rPr>
      </w:pPr>
      <w:r>
        <w:rPr>
          <w:rFonts w:hint="cs"/>
          <w:b/>
          <w:bCs/>
          <w:color w:val="000000"/>
          <w:rtl/>
        </w:rPr>
        <w:t>ارتفعت</w:t>
      </w:r>
      <w:r w:rsidRPr="00165FD2">
        <w:rPr>
          <w:rFonts w:hint="cs"/>
          <w:b/>
          <w:bCs/>
          <w:color w:val="000000"/>
          <w:rtl/>
        </w:rPr>
        <w:t xml:space="preserve"> قيمة ودائع المقيمين في البنوك المحلية</w:t>
      </w:r>
      <w:r>
        <w:rPr>
          <w:rFonts w:hint="cs"/>
          <w:b/>
          <w:bCs/>
          <w:color w:val="000000"/>
          <w:rtl/>
        </w:rPr>
        <w:t xml:space="preserve"> خلال عام 2011 بنسبة 2.2%</w:t>
      </w:r>
      <w:r w:rsidRPr="003517CC">
        <w:rPr>
          <w:rFonts w:hint="cs"/>
          <w:b/>
          <w:bCs/>
          <w:color w:val="000000"/>
          <w:rtl/>
        </w:rPr>
        <w:t xml:space="preserve"> لتصل في نهاية العام إلى حوالي</w:t>
      </w:r>
      <w:r w:rsidR="0074393A">
        <w:rPr>
          <w:rFonts w:hint="cs"/>
          <w:b/>
          <w:bCs/>
          <w:color w:val="000000"/>
          <w:rtl/>
        </w:rPr>
        <w:t xml:space="preserve"> </w:t>
      </w:r>
      <w:r w:rsidRPr="003517CC">
        <w:rPr>
          <w:b/>
          <w:bCs/>
          <w:color w:val="000000"/>
        </w:rPr>
        <w:t>6,776.8</w:t>
      </w:r>
      <w:r w:rsidRPr="003517CC">
        <w:rPr>
          <w:rFonts w:hint="cs"/>
          <w:b/>
          <w:bCs/>
          <w:color w:val="000000"/>
          <w:rtl/>
        </w:rPr>
        <w:t xml:space="preserve"> مليون دولار أمريكي مقارنة مع </w:t>
      </w:r>
      <w:r w:rsidRPr="003517CC">
        <w:rPr>
          <w:b/>
          <w:bCs/>
          <w:color w:val="000000"/>
        </w:rPr>
        <w:t>6,630.3</w:t>
      </w:r>
      <w:r w:rsidRPr="003517CC">
        <w:rPr>
          <w:rFonts w:hint="cs"/>
          <w:b/>
          <w:bCs/>
          <w:color w:val="000000"/>
          <w:rtl/>
        </w:rPr>
        <w:t xml:space="preserve"> مليون دولار أمريكي عام 2010.</w:t>
      </w:r>
      <w:r w:rsidRPr="00165FD2">
        <w:rPr>
          <w:rFonts w:hint="cs"/>
          <w:color w:val="000000"/>
          <w:rtl/>
        </w:rPr>
        <w:t xml:space="preserve"> </w:t>
      </w:r>
      <w:r w:rsidRPr="002A7E40">
        <w:rPr>
          <w:rFonts w:hint="cs"/>
          <w:color w:val="000000"/>
          <w:rtl/>
        </w:rPr>
        <w:t>وتفيد</w:t>
      </w:r>
      <w:r w:rsidRPr="00165FD2">
        <w:rPr>
          <w:color w:val="000000"/>
          <w:rtl/>
        </w:rPr>
        <w:t xml:space="preserve"> بيانات الميزانية الموحدة للبنوك الصادرة عن سلطة النقد الفلسطينية </w:t>
      </w:r>
      <w:r>
        <w:rPr>
          <w:rFonts w:hint="cs"/>
          <w:color w:val="000000"/>
          <w:rtl/>
        </w:rPr>
        <w:t xml:space="preserve">بأن </w:t>
      </w:r>
      <w:r w:rsidRPr="00165FD2">
        <w:rPr>
          <w:rFonts w:hint="cs"/>
          <w:color w:val="000000"/>
          <w:rtl/>
        </w:rPr>
        <w:t>ودائع مؤسسات السلطة الفلسطينية</w:t>
      </w:r>
      <w:r>
        <w:rPr>
          <w:rFonts w:hint="cs"/>
          <w:color w:val="000000"/>
          <w:rtl/>
        </w:rPr>
        <w:t xml:space="preserve"> تشكل</w:t>
      </w:r>
      <w:r w:rsidRPr="00165FD2">
        <w:rPr>
          <w:rFonts w:hint="cs"/>
          <w:color w:val="000000"/>
          <w:rtl/>
        </w:rPr>
        <w:t xml:space="preserve"> 6.4% من إجمالي ودائع المقيمين عام 2011. </w:t>
      </w:r>
      <w:r>
        <w:rPr>
          <w:rFonts w:hint="cs"/>
          <w:color w:val="000000"/>
          <w:rtl/>
        </w:rPr>
        <w:t xml:space="preserve">من جهة أخرى لوحظ ارتفاع إجمالي التسهيلات </w:t>
      </w:r>
      <w:proofErr w:type="spellStart"/>
      <w:r w:rsidR="008F51FA">
        <w:rPr>
          <w:rFonts w:hint="cs"/>
          <w:color w:val="000000"/>
          <w:rtl/>
        </w:rPr>
        <w:t>الإئتمانية</w:t>
      </w:r>
      <w:proofErr w:type="spellEnd"/>
      <w:r>
        <w:rPr>
          <w:rFonts w:hint="cs"/>
          <w:color w:val="000000"/>
          <w:rtl/>
        </w:rPr>
        <w:t xml:space="preserve"> خلال عام 2011 بنسبة 23.1% مقارنة مع عام 2010، من بينها زيادة</w:t>
      </w:r>
      <w:r w:rsidRPr="00165FD2">
        <w:rPr>
          <w:rFonts w:hint="cs"/>
          <w:color w:val="000000"/>
          <w:rtl/>
        </w:rPr>
        <w:t xml:space="preserve"> التسهيلات </w:t>
      </w:r>
      <w:proofErr w:type="spellStart"/>
      <w:r w:rsidR="001F7F33">
        <w:rPr>
          <w:rFonts w:hint="cs"/>
          <w:color w:val="000000"/>
          <w:rtl/>
        </w:rPr>
        <w:t>الإئتمانية</w:t>
      </w:r>
      <w:proofErr w:type="spellEnd"/>
      <w:r w:rsidRPr="00165FD2">
        <w:rPr>
          <w:rFonts w:hint="cs"/>
          <w:color w:val="000000"/>
          <w:rtl/>
        </w:rPr>
        <w:t xml:space="preserve"> المقدمة لتمويل شراء السيارات والمركبات </w:t>
      </w:r>
      <w:r>
        <w:rPr>
          <w:rFonts w:hint="cs"/>
          <w:color w:val="000000"/>
          <w:rtl/>
        </w:rPr>
        <w:t>بنسبة</w:t>
      </w:r>
      <w:r w:rsidRPr="00165FD2">
        <w:rPr>
          <w:rFonts w:hint="cs"/>
          <w:color w:val="000000"/>
          <w:rtl/>
        </w:rPr>
        <w:t xml:space="preserve"> 38.5% </w:t>
      </w:r>
      <w:r>
        <w:rPr>
          <w:rFonts w:hint="cs"/>
          <w:color w:val="000000"/>
          <w:rtl/>
        </w:rPr>
        <w:t>لتصل إلى</w:t>
      </w:r>
      <w:r w:rsidRPr="00165FD2">
        <w:rPr>
          <w:rFonts w:hint="cs"/>
          <w:color w:val="000000"/>
          <w:rtl/>
        </w:rPr>
        <w:t xml:space="preserve"> 118.7 مليون دولار عام 2011</w:t>
      </w:r>
      <w:r>
        <w:rPr>
          <w:rFonts w:hint="cs"/>
          <w:color w:val="000000"/>
          <w:rtl/>
        </w:rPr>
        <w:t xml:space="preserve"> مقارنة مع 85.7 مليون دولار عام 2010</w:t>
      </w:r>
      <w:r w:rsidRPr="00165FD2">
        <w:rPr>
          <w:rFonts w:hint="cs"/>
          <w:color w:val="000000"/>
          <w:rtl/>
        </w:rPr>
        <w:t xml:space="preserve">. </w:t>
      </w:r>
    </w:p>
    <w:p w:rsidR="00C743BA" w:rsidRPr="00165FD2" w:rsidRDefault="00C743BA" w:rsidP="00C743BA">
      <w:pPr>
        <w:pStyle w:val="BodyText"/>
        <w:jc w:val="both"/>
        <w:rPr>
          <w:color w:val="000000"/>
          <w:sz w:val="18"/>
          <w:szCs w:val="18"/>
          <w:rtl/>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Default="00C743BA" w:rsidP="00C743BA">
      <w:pPr>
        <w:rPr>
          <w:color w:val="000000"/>
          <w:rtl/>
          <w:lang w:val="af-ZA"/>
        </w:rPr>
      </w:pPr>
    </w:p>
    <w:p w:rsidR="00C743BA" w:rsidRPr="00165FD2" w:rsidRDefault="00C743BA" w:rsidP="00C743BA">
      <w:pPr>
        <w:pStyle w:val="Heading2"/>
        <w:jc w:val="both"/>
        <w:rPr>
          <w:color w:val="000000"/>
          <w:rtl/>
        </w:rPr>
      </w:pPr>
      <w:r>
        <w:rPr>
          <w:rFonts w:hint="cs"/>
          <w:color w:val="000000"/>
          <w:rtl/>
        </w:rPr>
        <w:lastRenderedPageBreak/>
        <w:t>9</w:t>
      </w:r>
      <w:r w:rsidRPr="00165FD2">
        <w:rPr>
          <w:rFonts w:hint="cs"/>
          <w:color w:val="000000"/>
          <w:rtl/>
        </w:rPr>
        <w:t xml:space="preserve">- الأنشطة الاقتصادية </w:t>
      </w:r>
    </w:p>
    <w:p w:rsidR="00C743BA" w:rsidRDefault="00C743BA" w:rsidP="00C743BA">
      <w:pPr>
        <w:tabs>
          <w:tab w:val="left" w:pos="8928"/>
        </w:tabs>
        <w:spacing w:before="240"/>
        <w:jc w:val="lowKashida"/>
        <w:rPr>
          <w:rFonts w:cs="Simplified Arabic"/>
          <w:color w:val="000000"/>
          <w:rtl/>
        </w:rPr>
      </w:pPr>
      <w:r w:rsidRPr="00165FD2">
        <w:rPr>
          <w:rFonts w:cs="Simplified Arabic" w:hint="cs"/>
          <w:color w:val="000000"/>
          <w:rtl/>
        </w:rPr>
        <w:t>يتوزع الاقتصاد الفلسطيني على مجموعة من الأنشطة الاقتصادية</w:t>
      </w:r>
      <w:r>
        <w:rPr>
          <w:rFonts w:cs="Simplified Arabic" w:hint="cs"/>
          <w:color w:val="000000"/>
          <w:rtl/>
        </w:rPr>
        <w:t xml:space="preserve"> </w:t>
      </w:r>
      <w:r w:rsidRPr="00165FD2">
        <w:rPr>
          <w:rFonts w:cs="Simplified Arabic" w:hint="cs"/>
          <w:color w:val="000000"/>
          <w:rtl/>
        </w:rPr>
        <w:t>التي تمثل هيكل وبنية الاقتصاد</w:t>
      </w:r>
      <w:r>
        <w:rPr>
          <w:rFonts w:cs="Simplified Arabic" w:hint="cs"/>
          <w:color w:val="000000"/>
          <w:rtl/>
        </w:rPr>
        <w:t>. ويبين جدول 10 أ</w:t>
      </w:r>
      <w:r w:rsidRPr="00165FD2">
        <w:rPr>
          <w:rFonts w:cs="Simplified Arabic" w:hint="cs"/>
          <w:color w:val="000000"/>
          <w:rtl/>
        </w:rPr>
        <w:t xml:space="preserve">برز المؤشرات الاقتصادية </w:t>
      </w:r>
      <w:r>
        <w:rPr>
          <w:rFonts w:cs="Simplified Arabic" w:hint="cs"/>
          <w:color w:val="000000"/>
          <w:rtl/>
        </w:rPr>
        <w:t xml:space="preserve">للأنشطة الرئيسية في الاقتصاد الفلسطيني </w:t>
      </w:r>
      <w:r w:rsidRPr="00165FD2">
        <w:rPr>
          <w:rFonts w:cs="Simplified Arabic" w:hint="cs"/>
          <w:color w:val="000000"/>
          <w:rtl/>
        </w:rPr>
        <w:t>خلال عام 2011</w:t>
      </w:r>
      <w:r>
        <w:rPr>
          <w:rFonts w:cs="Simplified Arabic" w:hint="cs"/>
          <w:color w:val="000000"/>
          <w:rtl/>
        </w:rPr>
        <w:t>.</w:t>
      </w:r>
    </w:p>
    <w:p w:rsidR="00C743BA" w:rsidRPr="00165FD2" w:rsidRDefault="00C743BA" w:rsidP="00C743BA">
      <w:pPr>
        <w:tabs>
          <w:tab w:val="left" w:pos="8928"/>
        </w:tabs>
        <w:jc w:val="lowKashida"/>
        <w:rPr>
          <w:rFonts w:cs="Simplified Arabic"/>
          <w:color w:val="000000"/>
          <w:rtl/>
        </w:rPr>
      </w:pPr>
    </w:p>
    <w:p w:rsidR="00C743BA" w:rsidRPr="00165FD2" w:rsidRDefault="00C743BA" w:rsidP="009C583A">
      <w:pPr>
        <w:keepNext/>
        <w:keepLines/>
        <w:jc w:val="center"/>
        <w:rPr>
          <w:rFonts w:cs="Simplified Arabic"/>
          <w:b/>
          <w:bCs/>
          <w:color w:val="000000"/>
          <w:sz w:val="22"/>
          <w:szCs w:val="22"/>
          <w:rtl/>
        </w:rPr>
      </w:pPr>
      <w:r w:rsidRPr="00165FD2">
        <w:rPr>
          <w:rFonts w:cs="Simplified Arabic" w:hint="cs"/>
          <w:b/>
          <w:bCs/>
          <w:color w:val="000000"/>
          <w:sz w:val="22"/>
          <w:szCs w:val="22"/>
          <w:rtl/>
        </w:rPr>
        <w:t>جدول</w:t>
      </w:r>
      <w:r w:rsidR="009C583A">
        <w:rPr>
          <w:rFonts w:cs="Simplified Arabic" w:hint="cs"/>
          <w:b/>
          <w:bCs/>
          <w:color w:val="000000"/>
          <w:sz w:val="22"/>
          <w:szCs w:val="22"/>
          <w:rtl/>
        </w:rPr>
        <w:t xml:space="preserve"> 10</w:t>
      </w:r>
      <w:r w:rsidRPr="00165FD2">
        <w:rPr>
          <w:rFonts w:cs="Simplified Arabic" w:hint="cs"/>
          <w:b/>
          <w:bCs/>
          <w:color w:val="000000"/>
          <w:sz w:val="22"/>
          <w:szCs w:val="22"/>
          <w:rtl/>
        </w:rPr>
        <w:t>: أبرز الأنشطة الاقتصادية وأهم خصائصها</w:t>
      </w:r>
      <w:r w:rsidR="00947AA0" w:rsidRPr="00947AA0">
        <w:rPr>
          <w:rFonts w:cs="Simplified Arabic" w:hint="cs"/>
          <w:b/>
          <w:bCs/>
          <w:sz w:val="22"/>
          <w:szCs w:val="22"/>
          <w:rtl/>
        </w:rPr>
        <w:t xml:space="preserve"> </w:t>
      </w:r>
      <w:r w:rsidR="00947AA0" w:rsidRPr="004F33D8">
        <w:rPr>
          <w:rFonts w:cs="Simplified Arabic" w:hint="cs"/>
          <w:b/>
          <w:bCs/>
          <w:sz w:val="22"/>
          <w:szCs w:val="22"/>
          <w:rtl/>
        </w:rPr>
        <w:t>في الأراضي الفلسطينية</w:t>
      </w:r>
      <w:r w:rsidR="00947AA0">
        <w:rPr>
          <w:rFonts w:cs="Simplified Arabic" w:hint="cs"/>
          <w:b/>
          <w:bCs/>
          <w:color w:val="000000"/>
          <w:sz w:val="22"/>
          <w:szCs w:val="22"/>
          <w:rtl/>
        </w:rPr>
        <w:t>،</w:t>
      </w:r>
      <w:r w:rsidRPr="00165FD2">
        <w:rPr>
          <w:rFonts w:cs="Simplified Arabic" w:hint="cs"/>
          <w:b/>
          <w:bCs/>
          <w:color w:val="000000"/>
          <w:sz w:val="22"/>
          <w:szCs w:val="22"/>
          <w:rtl/>
        </w:rPr>
        <w:t xml:space="preserve"> 2011</w:t>
      </w:r>
    </w:p>
    <w:tbl>
      <w:tblPr>
        <w:bidiVisual/>
        <w:tblW w:w="9062" w:type="dxa"/>
        <w:tblInd w:w="249" w:type="dxa"/>
        <w:tblBorders>
          <w:top w:val="single" w:sz="4" w:space="0" w:color="auto"/>
          <w:bottom w:val="single" w:sz="4" w:space="0" w:color="auto"/>
        </w:tblBorders>
        <w:tblLayout w:type="fixed"/>
        <w:tblLook w:val="0000"/>
      </w:tblPr>
      <w:tblGrid>
        <w:gridCol w:w="3392"/>
        <w:gridCol w:w="871"/>
        <w:gridCol w:w="1018"/>
        <w:gridCol w:w="872"/>
        <w:gridCol w:w="871"/>
        <w:gridCol w:w="1037"/>
        <w:gridCol w:w="1001"/>
      </w:tblGrid>
      <w:tr w:rsidR="00C743BA" w:rsidRPr="00165FD2" w:rsidTr="00211679">
        <w:trPr>
          <w:trHeight w:val="336"/>
        </w:trPr>
        <w:tc>
          <w:tcPr>
            <w:tcW w:w="3392" w:type="dxa"/>
            <w:tcBorders>
              <w:top w:val="single" w:sz="12" w:space="0" w:color="auto"/>
              <w:bottom w:val="single" w:sz="12" w:space="0" w:color="auto"/>
            </w:tcBorders>
          </w:tcPr>
          <w:p w:rsidR="00C743BA" w:rsidRPr="00FB36FA" w:rsidRDefault="00C743BA" w:rsidP="00211679">
            <w:pPr>
              <w:keepNext/>
              <w:keepLines/>
              <w:rPr>
                <w:rFonts w:ascii="Arial" w:hAnsi="Arial" w:cs="Arial"/>
                <w:b/>
                <w:bCs/>
                <w:color w:val="000000"/>
                <w:sz w:val="18"/>
                <w:szCs w:val="18"/>
                <w:rtl/>
              </w:rPr>
            </w:pPr>
            <w:r w:rsidRPr="00FB36FA">
              <w:rPr>
                <w:rFonts w:ascii="Arial" w:hAnsi="Arial" w:cs="Arial"/>
                <w:b/>
                <w:bCs/>
                <w:color w:val="000000"/>
                <w:sz w:val="18"/>
                <w:szCs w:val="18"/>
                <w:rtl/>
              </w:rPr>
              <w:t>المؤشر</w:t>
            </w:r>
          </w:p>
        </w:tc>
        <w:tc>
          <w:tcPr>
            <w:tcW w:w="871" w:type="dxa"/>
            <w:tcBorders>
              <w:top w:val="single" w:sz="12" w:space="0" w:color="auto"/>
              <w:bottom w:val="single" w:sz="12" w:space="0" w:color="auto"/>
            </w:tcBorders>
          </w:tcPr>
          <w:p w:rsidR="00C743BA" w:rsidRPr="00FB36FA" w:rsidRDefault="00C743BA" w:rsidP="00211679">
            <w:pPr>
              <w:keepNext/>
              <w:keepLines/>
              <w:jc w:val="lowKashida"/>
              <w:rPr>
                <w:rFonts w:ascii="Arial" w:hAnsi="Arial" w:cs="Arial"/>
                <w:b/>
                <w:bCs/>
                <w:color w:val="000000"/>
                <w:sz w:val="18"/>
                <w:szCs w:val="18"/>
              </w:rPr>
            </w:pPr>
            <w:r w:rsidRPr="00FB36FA">
              <w:rPr>
                <w:rFonts w:ascii="Arial" w:hAnsi="Arial" w:cs="Arial"/>
                <w:b/>
                <w:bCs/>
                <w:color w:val="000000"/>
                <w:sz w:val="18"/>
                <w:szCs w:val="18"/>
                <w:rtl/>
              </w:rPr>
              <w:t xml:space="preserve">الزراعة </w:t>
            </w:r>
          </w:p>
        </w:tc>
        <w:tc>
          <w:tcPr>
            <w:tcW w:w="1018" w:type="dxa"/>
            <w:tcBorders>
              <w:top w:val="single" w:sz="12" w:space="0" w:color="auto"/>
              <w:bottom w:val="single" w:sz="12" w:space="0" w:color="auto"/>
            </w:tcBorders>
          </w:tcPr>
          <w:p w:rsidR="00C743BA" w:rsidRPr="00FB36FA" w:rsidRDefault="00C743BA" w:rsidP="00211679">
            <w:pPr>
              <w:keepNext/>
              <w:keepLines/>
              <w:jc w:val="lowKashida"/>
              <w:rPr>
                <w:rFonts w:ascii="Arial" w:hAnsi="Arial" w:cs="Arial"/>
                <w:b/>
                <w:bCs/>
                <w:color w:val="000000"/>
                <w:sz w:val="18"/>
                <w:szCs w:val="18"/>
              </w:rPr>
            </w:pPr>
            <w:r w:rsidRPr="00FB36FA">
              <w:rPr>
                <w:rFonts w:ascii="Arial" w:hAnsi="Arial" w:cs="Arial"/>
                <w:b/>
                <w:bCs/>
                <w:color w:val="000000"/>
                <w:sz w:val="18"/>
                <w:szCs w:val="18"/>
                <w:rtl/>
              </w:rPr>
              <w:t>الصناعة</w:t>
            </w:r>
          </w:p>
        </w:tc>
        <w:tc>
          <w:tcPr>
            <w:tcW w:w="872" w:type="dxa"/>
            <w:tcBorders>
              <w:top w:val="single" w:sz="12" w:space="0" w:color="auto"/>
              <w:bottom w:val="single" w:sz="12" w:space="0" w:color="auto"/>
            </w:tcBorders>
          </w:tcPr>
          <w:p w:rsidR="00C743BA" w:rsidRPr="00FB36FA" w:rsidRDefault="00C743BA" w:rsidP="00211679">
            <w:pPr>
              <w:keepNext/>
              <w:keepLines/>
              <w:jc w:val="lowKashida"/>
              <w:rPr>
                <w:rFonts w:ascii="Arial" w:hAnsi="Arial" w:cs="Arial"/>
                <w:b/>
                <w:bCs/>
                <w:color w:val="000000"/>
                <w:sz w:val="18"/>
                <w:szCs w:val="18"/>
              </w:rPr>
            </w:pPr>
            <w:r w:rsidRPr="00FB36FA">
              <w:rPr>
                <w:rFonts w:ascii="Arial" w:hAnsi="Arial" w:cs="Arial"/>
                <w:b/>
                <w:bCs/>
                <w:color w:val="000000"/>
                <w:sz w:val="18"/>
                <w:szCs w:val="18"/>
                <w:rtl/>
              </w:rPr>
              <w:t>التجارة</w:t>
            </w:r>
          </w:p>
        </w:tc>
        <w:tc>
          <w:tcPr>
            <w:tcW w:w="871" w:type="dxa"/>
            <w:tcBorders>
              <w:top w:val="single" w:sz="12" w:space="0" w:color="auto"/>
              <w:bottom w:val="single" w:sz="12" w:space="0" w:color="auto"/>
            </w:tcBorders>
          </w:tcPr>
          <w:p w:rsidR="00C743BA" w:rsidRPr="00FB36FA" w:rsidRDefault="00C743BA" w:rsidP="00211679">
            <w:pPr>
              <w:keepNext/>
              <w:keepLines/>
              <w:jc w:val="lowKashida"/>
              <w:rPr>
                <w:rFonts w:ascii="Arial" w:hAnsi="Arial" w:cs="Arial"/>
                <w:b/>
                <w:bCs/>
                <w:color w:val="000000"/>
                <w:sz w:val="18"/>
                <w:szCs w:val="18"/>
              </w:rPr>
            </w:pPr>
            <w:r w:rsidRPr="00FB36FA">
              <w:rPr>
                <w:rFonts w:ascii="Arial" w:hAnsi="Arial" w:cs="Arial"/>
                <w:b/>
                <w:bCs/>
                <w:color w:val="000000"/>
                <w:sz w:val="18"/>
                <w:szCs w:val="18"/>
                <w:rtl/>
              </w:rPr>
              <w:t>الخدمات</w:t>
            </w:r>
          </w:p>
        </w:tc>
        <w:tc>
          <w:tcPr>
            <w:tcW w:w="1037" w:type="dxa"/>
            <w:tcBorders>
              <w:top w:val="single" w:sz="12" w:space="0" w:color="auto"/>
              <w:bottom w:val="single" w:sz="12" w:space="0" w:color="auto"/>
            </w:tcBorders>
          </w:tcPr>
          <w:p w:rsidR="00C743BA" w:rsidRPr="00FB36FA" w:rsidRDefault="00C743BA" w:rsidP="00211679">
            <w:pPr>
              <w:keepNext/>
              <w:keepLines/>
              <w:jc w:val="lowKashida"/>
              <w:rPr>
                <w:rFonts w:ascii="Arial" w:hAnsi="Arial" w:cs="Arial"/>
                <w:b/>
                <w:bCs/>
                <w:color w:val="000000"/>
                <w:sz w:val="18"/>
                <w:szCs w:val="18"/>
              </w:rPr>
            </w:pPr>
            <w:r w:rsidRPr="00FB36FA">
              <w:rPr>
                <w:rFonts w:ascii="Arial" w:hAnsi="Arial" w:cs="Arial"/>
                <w:b/>
                <w:bCs/>
                <w:color w:val="000000"/>
                <w:sz w:val="18"/>
                <w:szCs w:val="18"/>
                <w:rtl/>
              </w:rPr>
              <w:t xml:space="preserve">  النقل</w:t>
            </w:r>
          </w:p>
        </w:tc>
        <w:tc>
          <w:tcPr>
            <w:tcW w:w="1001" w:type="dxa"/>
            <w:tcBorders>
              <w:top w:val="single" w:sz="12" w:space="0" w:color="auto"/>
              <w:bottom w:val="single" w:sz="12" w:space="0" w:color="auto"/>
            </w:tcBorders>
          </w:tcPr>
          <w:p w:rsidR="00C743BA" w:rsidRPr="00FB36FA" w:rsidRDefault="00C743BA" w:rsidP="00211679">
            <w:pPr>
              <w:keepNext/>
              <w:keepLines/>
              <w:ind w:right="-61"/>
              <w:jc w:val="lowKashida"/>
              <w:rPr>
                <w:rFonts w:ascii="Arial" w:hAnsi="Arial" w:cs="Arial"/>
                <w:b/>
                <w:bCs/>
                <w:color w:val="000000"/>
                <w:sz w:val="18"/>
                <w:szCs w:val="18"/>
              </w:rPr>
            </w:pPr>
            <w:r w:rsidRPr="00FB36FA">
              <w:rPr>
                <w:rFonts w:ascii="Arial" w:hAnsi="Arial" w:cs="Arial"/>
                <w:b/>
                <w:bCs/>
                <w:color w:val="000000"/>
                <w:sz w:val="18"/>
                <w:szCs w:val="18"/>
                <w:rtl/>
              </w:rPr>
              <w:t>الإنشاءات</w:t>
            </w:r>
          </w:p>
        </w:tc>
      </w:tr>
      <w:tr w:rsidR="00C743BA" w:rsidRPr="00165FD2" w:rsidTr="00211679">
        <w:trPr>
          <w:trHeight w:val="311"/>
        </w:trPr>
        <w:tc>
          <w:tcPr>
            <w:tcW w:w="3392"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bookmarkStart w:id="15" w:name="_Hlk319495226"/>
            <w:r w:rsidRPr="00FB36FA">
              <w:rPr>
                <w:rFonts w:ascii="Arial" w:hAnsi="Arial" w:cs="Arial"/>
                <w:color w:val="000000"/>
                <w:sz w:val="18"/>
                <w:szCs w:val="18"/>
                <w:rtl/>
              </w:rPr>
              <w:t xml:space="preserve">نسبة المساهمة من الناتج المحلي الإجمالي </w:t>
            </w:r>
            <w:r>
              <w:rPr>
                <w:rFonts w:ascii="Arial" w:hAnsi="Arial" w:cs="Arial" w:hint="cs"/>
                <w:color w:val="000000"/>
                <w:sz w:val="18"/>
                <w:szCs w:val="18"/>
                <w:rtl/>
              </w:rPr>
              <w:t xml:space="preserve"> (%)</w:t>
            </w:r>
          </w:p>
        </w:tc>
        <w:tc>
          <w:tcPr>
            <w:tcW w:w="871"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5.5</w:t>
            </w:r>
          </w:p>
        </w:tc>
        <w:tc>
          <w:tcPr>
            <w:tcW w:w="1018"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12.6</w:t>
            </w:r>
          </w:p>
        </w:tc>
        <w:tc>
          <w:tcPr>
            <w:tcW w:w="872"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9.3</w:t>
            </w:r>
          </w:p>
        </w:tc>
        <w:tc>
          <w:tcPr>
            <w:tcW w:w="871"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21.9</w:t>
            </w:r>
          </w:p>
        </w:tc>
        <w:tc>
          <w:tcPr>
            <w:tcW w:w="1037"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2.1</w:t>
            </w:r>
          </w:p>
        </w:tc>
        <w:tc>
          <w:tcPr>
            <w:tcW w:w="1001" w:type="dxa"/>
            <w:tcBorders>
              <w:top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11.2</w:t>
            </w:r>
          </w:p>
        </w:tc>
      </w:tr>
      <w:tr w:rsidR="00C743BA" w:rsidRPr="00165FD2" w:rsidTr="00211679">
        <w:trPr>
          <w:trHeight w:val="336"/>
        </w:trPr>
        <w:tc>
          <w:tcPr>
            <w:tcW w:w="3392" w:type="dxa"/>
          </w:tcPr>
          <w:p w:rsidR="00C743BA" w:rsidRPr="00FB36FA" w:rsidRDefault="00C743BA" w:rsidP="00211679">
            <w:pPr>
              <w:keepNext/>
              <w:keepLines/>
              <w:rPr>
                <w:rFonts w:ascii="Arial" w:hAnsi="Arial" w:cs="Arial"/>
                <w:color w:val="000000"/>
                <w:sz w:val="18"/>
                <w:szCs w:val="18"/>
                <w:rtl/>
              </w:rPr>
            </w:pPr>
            <w:r w:rsidRPr="00FB36FA">
              <w:rPr>
                <w:rFonts w:ascii="Arial" w:hAnsi="Arial" w:cs="Arial"/>
                <w:color w:val="000000"/>
                <w:sz w:val="18"/>
                <w:szCs w:val="18"/>
                <w:rtl/>
              </w:rPr>
              <w:t>القيمة المضافة (بالمليون دولار)</w:t>
            </w:r>
          </w:p>
        </w:tc>
        <w:tc>
          <w:tcPr>
            <w:tcW w:w="871" w:type="dxa"/>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346.1</w:t>
            </w:r>
          </w:p>
        </w:tc>
        <w:tc>
          <w:tcPr>
            <w:tcW w:w="1018" w:type="dxa"/>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798.7</w:t>
            </w:r>
          </w:p>
        </w:tc>
        <w:tc>
          <w:tcPr>
            <w:tcW w:w="872" w:type="dxa"/>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587.0</w:t>
            </w:r>
          </w:p>
        </w:tc>
        <w:tc>
          <w:tcPr>
            <w:tcW w:w="871" w:type="dxa"/>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1,382.0</w:t>
            </w:r>
          </w:p>
        </w:tc>
        <w:tc>
          <w:tcPr>
            <w:tcW w:w="1037" w:type="dxa"/>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133.3</w:t>
            </w:r>
          </w:p>
        </w:tc>
        <w:tc>
          <w:tcPr>
            <w:tcW w:w="1001" w:type="dxa"/>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Pr>
              <w:t>708.2</w:t>
            </w:r>
          </w:p>
        </w:tc>
      </w:tr>
      <w:bookmarkEnd w:id="15"/>
      <w:tr w:rsidR="00C743BA" w:rsidRPr="00165FD2" w:rsidTr="00211679">
        <w:trPr>
          <w:trHeight w:val="311"/>
        </w:trPr>
        <w:tc>
          <w:tcPr>
            <w:tcW w:w="3392" w:type="dxa"/>
          </w:tcPr>
          <w:p w:rsidR="00C743BA" w:rsidRPr="00FB36FA" w:rsidRDefault="00C743BA" w:rsidP="00211679">
            <w:pPr>
              <w:keepNext/>
              <w:keepLines/>
              <w:rPr>
                <w:rFonts w:ascii="Arial" w:hAnsi="Arial" w:cs="Arial"/>
                <w:color w:val="000000"/>
                <w:sz w:val="18"/>
                <w:szCs w:val="18"/>
                <w:rtl/>
              </w:rPr>
            </w:pPr>
            <w:r w:rsidRPr="00FB36FA">
              <w:rPr>
                <w:rFonts w:ascii="Arial" w:hAnsi="Arial" w:cs="Arial"/>
                <w:color w:val="000000"/>
                <w:sz w:val="18"/>
                <w:szCs w:val="18"/>
                <w:rtl/>
              </w:rPr>
              <w:t>معدل الإنتاجية (بالدولار/عامل)</w:t>
            </w:r>
          </w:p>
        </w:tc>
        <w:tc>
          <w:tcPr>
            <w:tcW w:w="871" w:type="dxa"/>
            <w:vAlign w:val="center"/>
          </w:tcPr>
          <w:p w:rsidR="00C743BA" w:rsidRPr="00FB36FA" w:rsidRDefault="00C743BA" w:rsidP="00211679">
            <w:pPr>
              <w:keepNext/>
              <w:keepLines/>
              <w:bidi w:val="0"/>
              <w:ind w:right="-22"/>
              <w:jc w:val="center"/>
              <w:rPr>
                <w:rFonts w:ascii="Arial" w:hAnsi="Arial" w:cs="Arial"/>
                <w:color w:val="000000"/>
                <w:sz w:val="18"/>
                <w:szCs w:val="18"/>
              </w:rPr>
            </w:pPr>
            <w:r w:rsidRPr="00FB36FA">
              <w:rPr>
                <w:rFonts w:ascii="Arial" w:hAnsi="Arial" w:cs="Arial"/>
                <w:color w:val="000000"/>
                <w:sz w:val="18"/>
                <w:szCs w:val="18"/>
              </w:rPr>
              <w:t>3,721.5</w:t>
            </w:r>
          </w:p>
        </w:tc>
        <w:tc>
          <w:tcPr>
            <w:tcW w:w="1018" w:type="dxa"/>
            <w:vAlign w:val="center"/>
          </w:tcPr>
          <w:p w:rsidR="00C743BA" w:rsidRPr="00FB36FA" w:rsidRDefault="00C743BA" w:rsidP="00211679">
            <w:pPr>
              <w:keepNext/>
              <w:keepLines/>
              <w:bidi w:val="0"/>
              <w:ind w:right="-157"/>
              <w:jc w:val="center"/>
              <w:rPr>
                <w:rFonts w:ascii="Arial" w:hAnsi="Arial" w:cs="Arial"/>
                <w:color w:val="000000"/>
                <w:sz w:val="18"/>
                <w:szCs w:val="18"/>
              </w:rPr>
            </w:pPr>
            <w:r w:rsidRPr="00FB36FA">
              <w:rPr>
                <w:rFonts w:ascii="Arial" w:hAnsi="Arial" w:cs="Arial"/>
                <w:color w:val="000000"/>
                <w:sz w:val="18"/>
                <w:szCs w:val="18"/>
              </w:rPr>
              <w:t>9,276.4</w:t>
            </w:r>
          </w:p>
        </w:tc>
        <w:tc>
          <w:tcPr>
            <w:tcW w:w="872" w:type="dxa"/>
            <w:vAlign w:val="center"/>
          </w:tcPr>
          <w:p w:rsidR="00C743BA" w:rsidRPr="00FB36FA" w:rsidRDefault="00C743BA" w:rsidP="00211679">
            <w:pPr>
              <w:keepNext/>
              <w:keepLines/>
              <w:bidi w:val="0"/>
              <w:ind w:right="-19"/>
              <w:jc w:val="center"/>
              <w:rPr>
                <w:rFonts w:ascii="Arial" w:hAnsi="Arial" w:cs="Arial"/>
                <w:color w:val="000000"/>
                <w:sz w:val="18"/>
                <w:szCs w:val="18"/>
              </w:rPr>
            </w:pPr>
            <w:r w:rsidRPr="00FB36FA">
              <w:rPr>
                <w:rFonts w:ascii="Arial" w:hAnsi="Arial" w:cs="Arial"/>
                <w:color w:val="000000"/>
                <w:sz w:val="18"/>
                <w:szCs w:val="18"/>
              </w:rPr>
              <w:t>3,809.2</w:t>
            </w:r>
          </w:p>
        </w:tc>
        <w:tc>
          <w:tcPr>
            <w:tcW w:w="871" w:type="dxa"/>
            <w:vAlign w:val="center"/>
          </w:tcPr>
          <w:p w:rsidR="00C743BA" w:rsidRPr="00FB36FA" w:rsidRDefault="00C743BA" w:rsidP="00211679">
            <w:pPr>
              <w:keepNext/>
              <w:keepLines/>
              <w:bidi w:val="0"/>
              <w:ind w:right="-45"/>
              <w:jc w:val="center"/>
              <w:rPr>
                <w:rFonts w:ascii="Arial" w:hAnsi="Arial" w:cs="Arial"/>
                <w:color w:val="000000"/>
                <w:sz w:val="18"/>
                <w:szCs w:val="18"/>
              </w:rPr>
            </w:pPr>
            <w:r w:rsidRPr="00FB36FA">
              <w:rPr>
                <w:rFonts w:ascii="Arial" w:hAnsi="Arial" w:cs="Arial"/>
                <w:color w:val="000000"/>
                <w:sz w:val="18"/>
                <w:szCs w:val="18"/>
              </w:rPr>
              <w:t>4,765.5</w:t>
            </w:r>
          </w:p>
        </w:tc>
        <w:tc>
          <w:tcPr>
            <w:tcW w:w="1037" w:type="dxa"/>
            <w:vAlign w:val="center"/>
          </w:tcPr>
          <w:p w:rsidR="00C743BA" w:rsidRPr="00FB36FA" w:rsidRDefault="00C743BA" w:rsidP="00211679">
            <w:pPr>
              <w:keepNext/>
              <w:keepLines/>
              <w:bidi w:val="0"/>
              <w:ind w:right="-157"/>
              <w:jc w:val="center"/>
              <w:rPr>
                <w:rFonts w:ascii="Arial" w:hAnsi="Arial" w:cs="Arial"/>
                <w:color w:val="000000"/>
                <w:sz w:val="18"/>
                <w:szCs w:val="18"/>
              </w:rPr>
            </w:pPr>
            <w:r w:rsidRPr="00FB36FA">
              <w:rPr>
                <w:rFonts w:ascii="Arial" w:hAnsi="Arial" w:cs="Arial"/>
                <w:color w:val="000000"/>
                <w:sz w:val="18"/>
                <w:szCs w:val="18"/>
                <w:rtl/>
              </w:rPr>
              <w:t>5</w:t>
            </w:r>
            <w:r w:rsidRPr="00FB36FA">
              <w:rPr>
                <w:rFonts w:ascii="Arial" w:hAnsi="Arial" w:cs="Arial"/>
                <w:color w:val="000000"/>
                <w:sz w:val="18"/>
                <w:szCs w:val="18"/>
              </w:rPr>
              <w:t>,</w:t>
            </w:r>
            <w:r w:rsidRPr="00FB36FA">
              <w:rPr>
                <w:rFonts w:ascii="Arial" w:hAnsi="Arial" w:cs="Arial"/>
                <w:color w:val="000000"/>
                <w:sz w:val="18"/>
                <w:szCs w:val="18"/>
                <w:rtl/>
              </w:rPr>
              <w:t>721</w:t>
            </w:r>
            <w:r w:rsidRPr="00FB36FA">
              <w:rPr>
                <w:rFonts w:ascii="Arial" w:hAnsi="Arial" w:cs="Arial"/>
                <w:color w:val="000000"/>
                <w:sz w:val="18"/>
                <w:szCs w:val="18"/>
              </w:rPr>
              <w:t>.</w:t>
            </w:r>
            <w:r w:rsidRPr="00FB36FA">
              <w:rPr>
                <w:rFonts w:ascii="Arial" w:hAnsi="Arial" w:cs="Arial"/>
                <w:color w:val="000000"/>
                <w:sz w:val="18"/>
                <w:szCs w:val="18"/>
                <w:rtl/>
              </w:rPr>
              <w:t>0</w:t>
            </w:r>
          </w:p>
        </w:tc>
        <w:tc>
          <w:tcPr>
            <w:tcW w:w="1001" w:type="dxa"/>
            <w:vAlign w:val="center"/>
          </w:tcPr>
          <w:p w:rsidR="00C743BA" w:rsidRPr="00FB36FA" w:rsidRDefault="00C743BA" w:rsidP="00211679">
            <w:pPr>
              <w:keepNext/>
              <w:keepLines/>
              <w:bidi w:val="0"/>
              <w:ind w:right="-175"/>
              <w:jc w:val="center"/>
              <w:rPr>
                <w:rFonts w:ascii="Arial" w:hAnsi="Arial" w:cs="Arial"/>
                <w:color w:val="000000"/>
                <w:sz w:val="18"/>
                <w:szCs w:val="18"/>
              </w:rPr>
            </w:pPr>
            <w:r w:rsidRPr="00FB36FA">
              <w:rPr>
                <w:rFonts w:ascii="Arial" w:hAnsi="Arial" w:cs="Arial"/>
                <w:color w:val="000000"/>
                <w:sz w:val="18"/>
                <w:szCs w:val="18"/>
              </w:rPr>
              <w:t>10,117.1</w:t>
            </w:r>
          </w:p>
        </w:tc>
      </w:tr>
      <w:tr w:rsidR="00C743BA" w:rsidRPr="00165FD2" w:rsidTr="00211679">
        <w:trPr>
          <w:trHeight w:val="311"/>
        </w:trPr>
        <w:tc>
          <w:tcPr>
            <w:tcW w:w="3392" w:type="dxa"/>
            <w:tcBorders>
              <w:bottom w:val="nil"/>
            </w:tcBorders>
          </w:tcPr>
          <w:p w:rsidR="00C743BA" w:rsidRPr="00FB36FA" w:rsidRDefault="00C743BA" w:rsidP="00211679">
            <w:pPr>
              <w:keepNext/>
              <w:keepLines/>
              <w:rPr>
                <w:rFonts w:ascii="Arial" w:hAnsi="Arial" w:cs="Arial"/>
                <w:color w:val="000000"/>
                <w:sz w:val="18"/>
                <w:szCs w:val="18"/>
              </w:rPr>
            </w:pPr>
            <w:bookmarkStart w:id="16" w:name="_Hlk321132841"/>
            <w:r w:rsidRPr="00FB36FA">
              <w:rPr>
                <w:rFonts w:ascii="Arial" w:hAnsi="Arial" w:cs="Arial"/>
                <w:color w:val="000000"/>
                <w:sz w:val="18"/>
                <w:szCs w:val="18"/>
                <w:rtl/>
              </w:rPr>
              <w:t>عدد العاملين* (بالألف)</w:t>
            </w:r>
          </w:p>
        </w:tc>
        <w:tc>
          <w:tcPr>
            <w:tcW w:w="871" w:type="dxa"/>
            <w:tcBorders>
              <w:bottom w:val="nil"/>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93</w:t>
            </w:r>
          </w:p>
        </w:tc>
        <w:tc>
          <w:tcPr>
            <w:tcW w:w="1018" w:type="dxa"/>
            <w:tcBorders>
              <w:bottom w:val="nil"/>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86</w:t>
            </w:r>
          </w:p>
        </w:tc>
        <w:tc>
          <w:tcPr>
            <w:tcW w:w="872" w:type="dxa"/>
            <w:tcBorders>
              <w:bottom w:val="nil"/>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154</w:t>
            </w:r>
          </w:p>
        </w:tc>
        <w:tc>
          <w:tcPr>
            <w:tcW w:w="871" w:type="dxa"/>
            <w:tcBorders>
              <w:bottom w:val="nil"/>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290</w:t>
            </w:r>
          </w:p>
        </w:tc>
        <w:tc>
          <w:tcPr>
            <w:tcW w:w="1037" w:type="dxa"/>
            <w:tcBorders>
              <w:bottom w:val="nil"/>
            </w:tcBorders>
            <w:vAlign w:val="center"/>
          </w:tcPr>
          <w:p w:rsidR="00C743BA" w:rsidRPr="00FB36FA" w:rsidRDefault="00C743BA" w:rsidP="00211679">
            <w:pPr>
              <w:keepNext/>
              <w:keepLines/>
              <w:rPr>
                <w:rFonts w:ascii="Arial" w:hAnsi="Arial" w:cs="Arial"/>
                <w:color w:val="000000"/>
                <w:sz w:val="18"/>
                <w:szCs w:val="18"/>
                <w:rtl/>
              </w:rPr>
            </w:pPr>
            <w:r w:rsidRPr="00FB36FA">
              <w:rPr>
                <w:rFonts w:ascii="Arial" w:hAnsi="Arial" w:cs="Arial"/>
                <w:color w:val="000000"/>
                <w:sz w:val="18"/>
                <w:szCs w:val="18"/>
                <w:rtl/>
              </w:rPr>
              <w:t>23</w:t>
            </w:r>
          </w:p>
        </w:tc>
        <w:tc>
          <w:tcPr>
            <w:tcW w:w="1001" w:type="dxa"/>
            <w:tcBorders>
              <w:bottom w:val="nil"/>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70</w:t>
            </w:r>
          </w:p>
        </w:tc>
      </w:tr>
      <w:bookmarkEnd w:id="16"/>
      <w:tr w:rsidR="00C743BA" w:rsidRPr="00165FD2" w:rsidTr="00211679">
        <w:trPr>
          <w:trHeight w:val="311"/>
        </w:trPr>
        <w:tc>
          <w:tcPr>
            <w:tcW w:w="3392" w:type="dxa"/>
            <w:tcBorders>
              <w:top w:val="nil"/>
              <w:bottom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معدل الأجر اليومي الاسمي (شيكل)**</w:t>
            </w:r>
          </w:p>
        </w:tc>
        <w:tc>
          <w:tcPr>
            <w:tcW w:w="871" w:type="dxa"/>
            <w:tcBorders>
              <w:top w:val="nil"/>
              <w:bottom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55.7</w:t>
            </w:r>
          </w:p>
        </w:tc>
        <w:tc>
          <w:tcPr>
            <w:tcW w:w="1018" w:type="dxa"/>
            <w:tcBorders>
              <w:top w:val="nil"/>
              <w:bottom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79.6</w:t>
            </w:r>
          </w:p>
        </w:tc>
        <w:tc>
          <w:tcPr>
            <w:tcW w:w="872" w:type="dxa"/>
            <w:tcBorders>
              <w:top w:val="nil"/>
              <w:bottom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70.3</w:t>
            </w:r>
          </w:p>
        </w:tc>
        <w:tc>
          <w:tcPr>
            <w:tcW w:w="871" w:type="dxa"/>
            <w:tcBorders>
              <w:top w:val="nil"/>
              <w:bottom w:val="single" w:sz="12" w:space="0" w:color="auto"/>
            </w:tcBorders>
            <w:vAlign w:val="center"/>
          </w:tcPr>
          <w:p w:rsidR="00C743BA" w:rsidRPr="00FB36FA" w:rsidRDefault="00C743BA" w:rsidP="00211679">
            <w:pPr>
              <w:keepNext/>
              <w:keepLines/>
              <w:rPr>
                <w:rFonts w:ascii="Arial" w:hAnsi="Arial" w:cs="Arial"/>
                <w:color w:val="000000"/>
                <w:sz w:val="18"/>
                <w:szCs w:val="18"/>
                <w:rtl/>
              </w:rPr>
            </w:pPr>
            <w:r w:rsidRPr="00FB36FA">
              <w:rPr>
                <w:rFonts w:ascii="Arial" w:hAnsi="Arial" w:cs="Arial"/>
                <w:color w:val="000000"/>
                <w:sz w:val="18"/>
                <w:szCs w:val="18"/>
                <w:rtl/>
              </w:rPr>
              <w:t>93.6</w:t>
            </w:r>
          </w:p>
        </w:tc>
        <w:tc>
          <w:tcPr>
            <w:tcW w:w="1037" w:type="dxa"/>
            <w:tcBorders>
              <w:top w:val="nil"/>
              <w:bottom w:val="single" w:sz="12" w:space="0" w:color="auto"/>
            </w:tcBorders>
            <w:vAlign w:val="center"/>
          </w:tcPr>
          <w:p w:rsidR="00C743BA" w:rsidRPr="00FB36FA" w:rsidRDefault="00C743BA" w:rsidP="00211679">
            <w:pPr>
              <w:keepNext/>
              <w:keepLines/>
              <w:rPr>
                <w:rFonts w:ascii="Arial" w:hAnsi="Arial" w:cs="Arial"/>
                <w:color w:val="000000"/>
                <w:sz w:val="18"/>
                <w:szCs w:val="18"/>
              </w:rPr>
            </w:pPr>
            <w:r w:rsidRPr="00FB36FA">
              <w:rPr>
                <w:rFonts w:ascii="Arial" w:hAnsi="Arial" w:cs="Arial"/>
                <w:color w:val="000000"/>
                <w:sz w:val="18"/>
                <w:szCs w:val="18"/>
                <w:rtl/>
              </w:rPr>
              <w:t>101.9</w:t>
            </w:r>
          </w:p>
        </w:tc>
        <w:tc>
          <w:tcPr>
            <w:tcW w:w="1001" w:type="dxa"/>
            <w:tcBorders>
              <w:top w:val="nil"/>
              <w:bottom w:val="single" w:sz="12" w:space="0" w:color="auto"/>
            </w:tcBorders>
            <w:vAlign w:val="center"/>
          </w:tcPr>
          <w:p w:rsidR="00C743BA" w:rsidRPr="00FB36FA" w:rsidRDefault="00C743BA" w:rsidP="00211679">
            <w:pPr>
              <w:keepNext/>
              <w:keepLines/>
              <w:ind w:left="441" w:hanging="441"/>
              <w:rPr>
                <w:rFonts w:ascii="Arial" w:hAnsi="Arial" w:cs="Arial"/>
                <w:color w:val="000000"/>
                <w:sz w:val="18"/>
                <w:szCs w:val="18"/>
              </w:rPr>
            </w:pPr>
            <w:r w:rsidRPr="00FB36FA">
              <w:rPr>
                <w:rFonts w:ascii="Arial" w:hAnsi="Arial" w:cs="Arial"/>
                <w:color w:val="000000"/>
                <w:sz w:val="18"/>
                <w:szCs w:val="18"/>
                <w:rtl/>
              </w:rPr>
              <w:t>119.3</w:t>
            </w:r>
          </w:p>
        </w:tc>
      </w:tr>
    </w:tbl>
    <w:p w:rsidR="00C743BA" w:rsidRPr="00165FD2" w:rsidRDefault="00C743BA" w:rsidP="00C743BA">
      <w:pPr>
        <w:pStyle w:val="Heading2"/>
        <w:keepLines/>
        <w:ind w:left="-2" w:right="-360" w:firstLine="142"/>
        <w:jc w:val="both"/>
        <w:rPr>
          <w:b w:val="0"/>
          <w:bCs w:val="0"/>
          <w:color w:val="000000"/>
          <w:sz w:val="18"/>
          <w:szCs w:val="18"/>
          <w:rtl/>
          <w:lang w:val="af-ZA"/>
        </w:rPr>
      </w:pPr>
      <w:r w:rsidRPr="00165FD2">
        <w:rPr>
          <w:rFonts w:hint="cs"/>
          <w:b w:val="0"/>
          <w:bCs w:val="0"/>
          <w:color w:val="000000"/>
          <w:sz w:val="18"/>
          <w:szCs w:val="18"/>
          <w:rtl/>
        </w:rPr>
        <w:t>* لا يشم</w:t>
      </w:r>
      <w:r w:rsidRPr="00165FD2">
        <w:rPr>
          <w:rFonts w:hint="eastAsia"/>
          <w:b w:val="0"/>
          <w:bCs w:val="0"/>
          <w:color w:val="000000"/>
          <w:sz w:val="18"/>
          <w:szCs w:val="18"/>
          <w:rtl/>
        </w:rPr>
        <w:t>ل</w:t>
      </w:r>
      <w:r w:rsidRPr="00165FD2">
        <w:rPr>
          <w:rFonts w:hint="cs"/>
          <w:b w:val="0"/>
          <w:bCs w:val="0"/>
          <w:color w:val="000000"/>
          <w:sz w:val="18"/>
          <w:szCs w:val="18"/>
          <w:rtl/>
        </w:rPr>
        <w:t xml:space="preserve"> العاملين في إسرائيل والمستوطنات وذلك الجزء من محافظة القدس الذي ضمته إسرائيل عنوة بعيد احتلالها للضفة الغربية عام 1967</w:t>
      </w:r>
      <w:r w:rsidRPr="00165FD2">
        <w:rPr>
          <w:rFonts w:hint="cs"/>
          <w:b w:val="0"/>
          <w:bCs w:val="0"/>
          <w:color w:val="000000"/>
          <w:sz w:val="18"/>
          <w:szCs w:val="18"/>
          <w:rtl/>
          <w:lang w:val="af-ZA"/>
        </w:rPr>
        <w:t>.</w:t>
      </w:r>
    </w:p>
    <w:p w:rsidR="00C743BA" w:rsidRPr="00165FD2" w:rsidRDefault="00C743BA" w:rsidP="008F51FA">
      <w:pPr>
        <w:pStyle w:val="Heading2"/>
        <w:keepLines/>
        <w:ind w:left="-2" w:right="-360" w:firstLine="142"/>
        <w:jc w:val="both"/>
        <w:rPr>
          <w:b w:val="0"/>
          <w:bCs w:val="0"/>
          <w:color w:val="000000"/>
          <w:sz w:val="18"/>
          <w:szCs w:val="18"/>
          <w:rtl/>
          <w:lang w:val="af-ZA"/>
        </w:rPr>
      </w:pPr>
      <w:r w:rsidRPr="00165FD2">
        <w:rPr>
          <w:rFonts w:hint="cs"/>
          <w:b w:val="0"/>
          <w:bCs w:val="0"/>
          <w:color w:val="000000"/>
          <w:sz w:val="18"/>
          <w:szCs w:val="18"/>
          <w:rtl/>
        </w:rPr>
        <w:t xml:space="preserve">* * انظر متوسط سعر صرف الدولار الأمريكي مقابل الشيكل الإسرائيلي جدول </w:t>
      </w:r>
      <w:r w:rsidR="008F51FA">
        <w:rPr>
          <w:rFonts w:hint="cs"/>
          <w:b w:val="0"/>
          <w:bCs w:val="0"/>
          <w:color w:val="000000"/>
          <w:sz w:val="18"/>
          <w:szCs w:val="18"/>
          <w:rtl/>
        </w:rPr>
        <w:t>12</w:t>
      </w:r>
      <w:r w:rsidRPr="00165FD2">
        <w:rPr>
          <w:rFonts w:hint="cs"/>
          <w:b w:val="0"/>
          <w:bCs w:val="0"/>
          <w:color w:val="000000"/>
          <w:sz w:val="18"/>
          <w:szCs w:val="18"/>
          <w:rtl/>
          <w:lang w:val="af-ZA"/>
        </w:rPr>
        <w:t xml:space="preserve"> (صفحة الملحقات).</w:t>
      </w:r>
    </w:p>
    <w:p w:rsidR="00C743BA" w:rsidRDefault="00C743BA" w:rsidP="00C743BA">
      <w:pPr>
        <w:rPr>
          <w:rFonts w:cs="Simplified Arabic"/>
          <w:b/>
          <w:bCs/>
          <w:color w:val="000000"/>
          <w:rtl/>
        </w:rPr>
      </w:pPr>
    </w:p>
    <w:p w:rsidR="00C743BA" w:rsidRDefault="00C743BA" w:rsidP="00C743BA">
      <w:pPr>
        <w:spacing w:before="240"/>
        <w:jc w:val="lowKashida"/>
        <w:rPr>
          <w:rFonts w:cs="Simplified Arabic"/>
          <w:color w:val="000000"/>
          <w:rtl/>
        </w:rPr>
      </w:pPr>
      <w:r w:rsidRPr="005A2E97">
        <w:rPr>
          <w:rFonts w:cs="Simplified Arabic" w:hint="cs"/>
          <w:b/>
          <w:bCs/>
          <w:color w:val="000000"/>
          <w:rtl/>
        </w:rPr>
        <w:t xml:space="preserve">ارتفعت القيمة المضافة لنشاط الخدمات بنسبة </w:t>
      </w:r>
      <w:r w:rsidRPr="005A2E97">
        <w:rPr>
          <w:rFonts w:cs="Simplified Arabic"/>
          <w:b/>
          <w:bCs/>
          <w:color w:val="000000"/>
          <w:lang w:eastAsia="en-US"/>
        </w:rPr>
        <w:t>8.6</w:t>
      </w:r>
      <w:r w:rsidRPr="005A2E97">
        <w:rPr>
          <w:rFonts w:cs="Simplified Arabic" w:hint="cs"/>
          <w:b/>
          <w:bCs/>
          <w:color w:val="000000"/>
          <w:rtl/>
          <w:lang w:eastAsia="en-US"/>
        </w:rPr>
        <w:t>%</w:t>
      </w:r>
      <w:r w:rsidRPr="005A2E97">
        <w:rPr>
          <w:rFonts w:cs="Simplified Arabic" w:hint="cs"/>
          <w:b/>
          <w:bCs/>
          <w:color w:val="000000"/>
          <w:rtl/>
        </w:rPr>
        <w:t xml:space="preserve"> خلال العام 2011 مقارنة مع عام 2010، ورافق ذلك تحسن في أعداد العاملين بنسبة 6.9%</w:t>
      </w:r>
      <w:r w:rsidRPr="004F7663">
        <w:rPr>
          <w:rFonts w:cs="Simplified Arabic" w:hint="cs"/>
          <w:b/>
          <w:bCs/>
          <w:color w:val="000000"/>
          <w:rtl/>
        </w:rPr>
        <w:t xml:space="preserve">. </w:t>
      </w:r>
      <w:r w:rsidRPr="009E2CF0">
        <w:rPr>
          <w:rFonts w:cs="Simplified Arabic" w:hint="cs"/>
          <w:color w:val="000000"/>
          <w:rtl/>
        </w:rPr>
        <w:t xml:space="preserve">ويحتل نشاط الخدمات المرتبة الأولى من حيث القيمة المضافة والتوظيف، حيث بلغت مساهمته  في الناتج المحلي الإجمالي </w:t>
      </w:r>
      <w:r w:rsidRPr="009E2CF0">
        <w:rPr>
          <w:rFonts w:cs="Simplified Arabic"/>
          <w:color w:val="000000"/>
        </w:rPr>
        <w:t>21.9</w:t>
      </w:r>
      <w:r w:rsidRPr="009E2CF0">
        <w:rPr>
          <w:rFonts w:cs="Simplified Arabic" w:hint="cs"/>
          <w:color w:val="000000"/>
          <w:rtl/>
        </w:rPr>
        <w:t xml:space="preserve">% عام 2011، وبلغ عدد العاملين فيه </w:t>
      </w:r>
      <w:r w:rsidRPr="009E2CF0">
        <w:rPr>
          <w:rFonts w:cs="Simplified Arabic" w:hint="cs"/>
          <w:color w:val="000000"/>
          <w:rtl/>
          <w:lang w:eastAsia="en-US"/>
        </w:rPr>
        <w:t>290 ألف</w:t>
      </w:r>
      <w:r w:rsidRPr="009E2CF0">
        <w:rPr>
          <w:rFonts w:cs="Simplified Arabic" w:hint="cs"/>
          <w:color w:val="000000"/>
          <w:rtl/>
        </w:rPr>
        <w:t xml:space="preserve"> عامل، يمثلون حوالي 35% من عدد العاملين في الاقتصاد الفلسطيني خلال ذلك العام</w:t>
      </w:r>
      <w:r>
        <w:rPr>
          <w:rFonts w:cs="Simplified Arabic" w:hint="cs"/>
          <w:color w:val="000000"/>
          <w:rtl/>
        </w:rPr>
        <w:t>.</w:t>
      </w:r>
      <w:r w:rsidRPr="00384256">
        <w:rPr>
          <w:rFonts w:cs="Simplified Arabic" w:hint="cs"/>
          <w:color w:val="000000"/>
          <w:rtl/>
        </w:rPr>
        <w:t xml:space="preserve"> </w:t>
      </w:r>
      <w:r>
        <w:rPr>
          <w:rFonts w:cs="Simplified Arabic" w:hint="cs"/>
          <w:color w:val="000000"/>
          <w:rtl/>
        </w:rPr>
        <w:t xml:space="preserve">كما </w:t>
      </w:r>
      <w:r w:rsidRPr="00384256">
        <w:rPr>
          <w:rFonts w:cs="Simplified Arabic" w:hint="cs"/>
          <w:color w:val="000000"/>
          <w:rtl/>
        </w:rPr>
        <w:t>بلغ معدل الأجر اليومي الاسمي للعاملين المستخدمين بأجر في نشاط الخدمات 93.6 شيكل</w:t>
      </w:r>
      <w:r>
        <w:rPr>
          <w:rFonts w:cs="Simplified Arabic" w:hint="cs"/>
          <w:color w:val="000000"/>
          <w:rtl/>
        </w:rPr>
        <w:t>، وهو أعلى بقليل من معدل الأجر اليومي الاسمي في الأراضي الفلسطينية البالغ 91.7 شيكل (جدول 3)، بالرغم من أن</w:t>
      </w:r>
      <w:r w:rsidRPr="00384256">
        <w:rPr>
          <w:rFonts w:cs="Simplified Arabic" w:hint="cs"/>
          <w:color w:val="000000"/>
          <w:rtl/>
        </w:rPr>
        <w:t xml:space="preserve"> إنتاجية العامل في ذلك النشاط بلغت</w:t>
      </w:r>
      <w:r w:rsidRPr="00384256">
        <w:rPr>
          <w:rFonts w:ascii="Arial" w:hAnsi="Arial" w:cs="Simplified Arabic" w:hint="cs"/>
          <w:color w:val="000000"/>
          <w:sz w:val="18"/>
          <w:szCs w:val="18"/>
          <w:rtl/>
        </w:rPr>
        <w:t xml:space="preserve"> </w:t>
      </w:r>
      <w:r w:rsidRPr="00384256">
        <w:rPr>
          <w:rFonts w:cs="Simplified Arabic"/>
          <w:color w:val="000000"/>
        </w:rPr>
        <w:t>4,765.5</w:t>
      </w:r>
      <w:r w:rsidRPr="00384256">
        <w:rPr>
          <w:rFonts w:cs="Simplified Arabic" w:hint="cs"/>
          <w:color w:val="000000"/>
          <w:rtl/>
        </w:rPr>
        <w:t xml:space="preserve"> دولار خلال عام 2011</w:t>
      </w:r>
      <w:r>
        <w:rPr>
          <w:rFonts w:cs="Simplified Arabic" w:hint="cs"/>
          <w:color w:val="000000"/>
          <w:rtl/>
        </w:rPr>
        <w:t>، وهي أقل بكثير من إنتاجية العامل في الاقتصاد الفلسطيني ككل</w:t>
      </w:r>
      <w:r w:rsidRPr="00384256">
        <w:rPr>
          <w:rFonts w:cs="Simplified Arabic" w:hint="cs"/>
          <w:color w:val="000000"/>
          <w:rtl/>
        </w:rPr>
        <w:t>.</w:t>
      </w:r>
    </w:p>
    <w:p w:rsidR="00C743BA" w:rsidRPr="00165FD2" w:rsidRDefault="00C743BA" w:rsidP="00C743BA">
      <w:pPr>
        <w:spacing w:before="240"/>
        <w:jc w:val="lowKashida"/>
        <w:rPr>
          <w:rFonts w:ascii="Arial" w:hAnsi="Arial" w:cs="Simplified Arabic"/>
          <w:color w:val="000000"/>
          <w:rtl/>
          <w:lang w:eastAsia="en-US"/>
        </w:rPr>
      </w:pPr>
      <w:r w:rsidRPr="009E2CF0">
        <w:rPr>
          <w:rFonts w:cs="Simplified Arabic" w:hint="cs"/>
          <w:b/>
          <w:bCs/>
          <w:color w:val="000000"/>
          <w:rtl/>
        </w:rPr>
        <w:t xml:space="preserve">كما ارتفعت القيمة المضافة لنشاط الصناعة بنسبة </w:t>
      </w:r>
      <w:r w:rsidRPr="009E2CF0">
        <w:rPr>
          <w:rFonts w:cs="Simplified Arabic"/>
          <w:b/>
          <w:bCs/>
          <w:color w:val="000000"/>
        </w:rPr>
        <w:t>6</w:t>
      </w:r>
      <w:r w:rsidRPr="009E2CF0">
        <w:rPr>
          <w:rFonts w:cs="Simplified Arabic" w:hint="cs"/>
          <w:b/>
          <w:bCs/>
          <w:color w:val="000000"/>
          <w:rtl/>
        </w:rPr>
        <w:t>.</w:t>
      </w:r>
      <w:r w:rsidRPr="009E2CF0">
        <w:rPr>
          <w:rFonts w:cs="Simplified Arabic"/>
          <w:b/>
          <w:bCs/>
          <w:color w:val="000000"/>
        </w:rPr>
        <w:t>7</w:t>
      </w:r>
      <w:r w:rsidRPr="009E2CF0">
        <w:rPr>
          <w:rFonts w:cs="Simplified Arabic" w:hint="cs"/>
          <w:b/>
          <w:bCs/>
          <w:color w:val="000000"/>
          <w:rtl/>
        </w:rPr>
        <w:t>% خلال العام 2011 وارتفع عدد العاملين بنسبة 18.6% مقارنة مع عام 2010</w:t>
      </w:r>
      <w:r w:rsidRPr="005A2E97">
        <w:rPr>
          <w:rFonts w:cs="Simplified Arabic" w:hint="cs"/>
          <w:b/>
          <w:bCs/>
          <w:color w:val="000000"/>
          <w:rtl/>
        </w:rPr>
        <w:t xml:space="preserve">. ويحتل نشاط الصناعة المرتبة الثانية بعد نشاط الخدمات من حيث القيمة المضافة والتوظيف، حيث أسهم بنسبة </w:t>
      </w:r>
      <w:r w:rsidRPr="005A2E97">
        <w:rPr>
          <w:rFonts w:cs="Simplified Arabic"/>
          <w:b/>
          <w:bCs/>
          <w:color w:val="000000"/>
        </w:rPr>
        <w:t>12.6</w:t>
      </w:r>
      <w:r w:rsidRPr="005A2E97">
        <w:rPr>
          <w:rFonts w:cs="Simplified Arabic" w:hint="cs"/>
          <w:b/>
          <w:bCs/>
          <w:color w:val="000000"/>
          <w:rtl/>
        </w:rPr>
        <w:t xml:space="preserve">% من الناتج المحلي الإجمالي خلال عام 2011، وبلغ عدد العاملين فيه </w:t>
      </w:r>
      <w:r w:rsidRPr="005A2E97">
        <w:rPr>
          <w:rFonts w:hint="cs"/>
          <w:b/>
          <w:bCs/>
          <w:color w:val="000000"/>
          <w:rtl/>
          <w:lang w:eastAsia="en-US"/>
        </w:rPr>
        <w:t>86</w:t>
      </w:r>
      <w:r w:rsidRPr="005A2E97">
        <w:rPr>
          <w:rFonts w:ascii="Arial" w:hAnsi="Arial" w:cs="Simplified Arabic" w:hint="cs"/>
          <w:b/>
          <w:bCs/>
          <w:color w:val="000000"/>
          <w:rtl/>
          <w:lang w:eastAsia="en-US"/>
        </w:rPr>
        <w:t xml:space="preserve"> ألف </w:t>
      </w:r>
      <w:r w:rsidRPr="005A2E97">
        <w:rPr>
          <w:rFonts w:cs="Simplified Arabic" w:hint="cs"/>
          <w:b/>
          <w:bCs/>
          <w:color w:val="000000"/>
          <w:rtl/>
        </w:rPr>
        <w:t>عامل، يمثلون 10.3% من إجمالي العاملين في الأراضي الفلسطينية خلال ذلك العام.</w:t>
      </w:r>
      <w:r w:rsidRPr="005A2E97">
        <w:rPr>
          <w:rFonts w:cs="Simplified Arabic" w:hint="cs"/>
          <w:color w:val="000000"/>
          <w:rtl/>
        </w:rPr>
        <w:t xml:space="preserve"> ويتميز نشاط الصناعة بارتفاع إنتاجية العامل فيه والتي بلغت </w:t>
      </w:r>
      <w:r w:rsidRPr="005A2E97">
        <w:rPr>
          <w:color w:val="000000"/>
        </w:rPr>
        <w:t>9,276.4</w:t>
      </w:r>
      <w:r w:rsidRPr="005A2E97">
        <w:rPr>
          <w:rFonts w:hint="cs"/>
          <w:color w:val="000000"/>
          <w:rtl/>
        </w:rPr>
        <w:t xml:space="preserve"> </w:t>
      </w:r>
      <w:r w:rsidRPr="005A2E97">
        <w:rPr>
          <w:rFonts w:cs="Simplified Arabic"/>
          <w:color w:val="000000"/>
          <w:rtl/>
        </w:rPr>
        <w:t>د</w:t>
      </w:r>
      <w:r w:rsidRPr="005A2E97">
        <w:rPr>
          <w:rFonts w:cs="Simplified Arabic" w:hint="cs"/>
          <w:color w:val="000000"/>
          <w:rtl/>
        </w:rPr>
        <w:t>ولار عام 2011، وهي أعلى من معدل الإنتاجية في الاقتصاد الفلسطيني والتي بلغت 8</w:t>
      </w:r>
      <w:r w:rsidR="005B0657">
        <w:rPr>
          <w:rFonts w:cs="Simplified Arabic" w:hint="cs"/>
          <w:color w:val="000000"/>
          <w:rtl/>
        </w:rPr>
        <w:t>,</w:t>
      </w:r>
      <w:r w:rsidRPr="005A2E97">
        <w:rPr>
          <w:rFonts w:cs="Simplified Arabic" w:hint="cs"/>
          <w:color w:val="000000"/>
          <w:rtl/>
        </w:rPr>
        <w:t>578.6 دولار، بالرغم من أن معدل الأجر اليومي الاسمي للعاملين المستخدمين بأجر في نشاط الصناعة بلغ</w:t>
      </w:r>
      <w:r w:rsidRPr="005A2E97">
        <w:rPr>
          <w:rFonts w:cs="Simplified Arabic"/>
          <w:color w:val="000000"/>
        </w:rPr>
        <w:t xml:space="preserve">79.6 </w:t>
      </w:r>
      <w:r w:rsidRPr="005A2E97">
        <w:rPr>
          <w:rFonts w:cs="Simplified Arabic" w:hint="cs"/>
          <w:color w:val="000000"/>
          <w:rtl/>
        </w:rPr>
        <w:t xml:space="preserve"> شيكل، وهو أقل من معدل </w:t>
      </w:r>
      <w:proofErr w:type="spellStart"/>
      <w:r w:rsidRPr="005A2E97">
        <w:rPr>
          <w:rFonts w:cs="Simplified Arabic" w:hint="cs"/>
          <w:color w:val="000000"/>
          <w:rtl/>
        </w:rPr>
        <w:t>الإجر</w:t>
      </w:r>
      <w:proofErr w:type="spellEnd"/>
      <w:r w:rsidRPr="005A2E97">
        <w:rPr>
          <w:rFonts w:cs="Simplified Arabic" w:hint="cs"/>
          <w:color w:val="000000"/>
          <w:rtl/>
        </w:rPr>
        <w:t xml:space="preserve"> اليومي الاسمي في الاقتصاد ككل</w:t>
      </w:r>
      <w:r w:rsidRPr="00165FD2">
        <w:rPr>
          <w:rFonts w:cs="Simplified Arabic" w:hint="cs"/>
          <w:color w:val="000000"/>
          <w:rtl/>
        </w:rPr>
        <w:t>.</w:t>
      </w:r>
    </w:p>
    <w:p w:rsidR="00C743BA" w:rsidRPr="005577C0" w:rsidRDefault="00C743BA" w:rsidP="00C743BA">
      <w:pPr>
        <w:spacing w:before="240"/>
        <w:jc w:val="lowKashida"/>
        <w:rPr>
          <w:rFonts w:ascii="Century Gothic" w:hAnsi="Century Gothic" w:cs="Simplified Arabic"/>
          <w:color w:val="000000"/>
          <w:rtl/>
          <w:lang w:eastAsia="en-US"/>
        </w:rPr>
      </w:pPr>
      <w:r w:rsidRPr="005A2E97">
        <w:rPr>
          <w:rFonts w:ascii="Century Gothic" w:hAnsi="Century Gothic" w:cs="Simplified Arabic" w:hint="cs"/>
          <w:b/>
          <w:bCs/>
          <w:color w:val="000000"/>
          <w:rtl/>
        </w:rPr>
        <w:t xml:space="preserve">أما نشاط الزراعة، فقد </w:t>
      </w:r>
      <w:r w:rsidRPr="005A2E97">
        <w:rPr>
          <w:rFonts w:ascii="Century Gothic" w:hAnsi="Century Gothic" w:cs="Simplified Arabic"/>
          <w:b/>
          <w:bCs/>
          <w:color w:val="000000"/>
          <w:rtl/>
        </w:rPr>
        <w:t xml:space="preserve">ارتفعت القيمة المضافة </w:t>
      </w:r>
      <w:r w:rsidRPr="005A2E97">
        <w:rPr>
          <w:rFonts w:ascii="Century Gothic" w:hAnsi="Century Gothic" w:cs="Simplified Arabic" w:hint="cs"/>
          <w:b/>
          <w:bCs/>
          <w:color w:val="000000"/>
          <w:rtl/>
        </w:rPr>
        <w:t>فيه</w:t>
      </w:r>
      <w:r w:rsidRPr="005A2E97">
        <w:rPr>
          <w:rFonts w:ascii="Century Gothic" w:hAnsi="Century Gothic" w:cs="Simplified Arabic"/>
          <w:b/>
          <w:bCs/>
          <w:color w:val="000000"/>
          <w:rtl/>
        </w:rPr>
        <w:t xml:space="preserve"> بنسبة</w:t>
      </w:r>
      <w:r w:rsidRPr="005A2E97">
        <w:rPr>
          <w:b/>
          <w:bCs/>
          <w:color w:val="000000"/>
          <w:rtl/>
        </w:rPr>
        <w:t xml:space="preserve"> </w:t>
      </w:r>
      <w:r w:rsidRPr="005A2E97">
        <w:rPr>
          <w:b/>
          <w:bCs/>
          <w:color w:val="000000"/>
        </w:rPr>
        <w:t>9.9</w:t>
      </w:r>
      <w:r w:rsidRPr="005A2E97">
        <w:rPr>
          <w:b/>
          <w:bCs/>
          <w:color w:val="000000"/>
          <w:rtl/>
        </w:rPr>
        <w:t>%</w:t>
      </w:r>
      <w:r w:rsidRPr="005A2E97">
        <w:rPr>
          <w:rFonts w:hint="cs"/>
          <w:b/>
          <w:bCs/>
          <w:color w:val="000000"/>
          <w:rtl/>
        </w:rPr>
        <w:t xml:space="preserve"> خلال العام 2011</w:t>
      </w:r>
      <w:r w:rsidRPr="005A2E97">
        <w:rPr>
          <w:rFonts w:ascii="Century Gothic" w:hAnsi="Century Gothic" w:cs="Simplified Arabic"/>
          <w:b/>
          <w:bCs/>
          <w:color w:val="000000"/>
          <w:rtl/>
        </w:rPr>
        <w:t>،</w:t>
      </w:r>
      <w:r w:rsidRPr="005A2E97">
        <w:rPr>
          <w:rFonts w:ascii="Century Gothic" w:hAnsi="Century Gothic" w:cs="Simplified Arabic" w:hint="cs"/>
          <w:b/>
          <w:bCs/>
          <w:color w:val="000000"/>
          <w:rtl/>
        </w:rPr>
        <w:t xml:space="preserve"> و</w:t>
      </w:r>
      <w:r w:rsidRPr="005A2E97">
        <w:rPr>
          <w:rFonts w:ascii="Century Gothic" w:hAnsi="Century Gothic" w:cs="Simplified Arabic"/>
          <w:b/>
          <w:bCs/>
          <w:color w:val="000000"/>
          <w:rtl/>
        </w:rPr>
        <w:t xml:space="preserve">ارتفع عدد العاملين </w:t>
      </w:r>
      <w:r w:rsidRPr="005A2E97">
        <w:rPr>
          <w:rFonts w:ascii="Century Gothic" w:hAnsi="Century Gothic" w:cs="Simplified Arabic" w:hint="cs"/>
          <w:b/>
          <w:bCs/>
          <w:color w:val="000000"/>
          <w:rtl/>
        </w:rPr>
        <w:t xml:space="preserve">فيه </w:t>
      </w:r>
      <w:r w:rsidRPr="005A2E97">
        <w:rPr>
          <w:rFonts w:ascii="Century Gothic" w:hAnsi="Century Gothic" w:cs="Simplified Arabic"/>
          <w:b/>
          <w:bCs/>
          <w:color w:val="000000"/>
          <w:rtl/>
        </w:rPr>
        <w:t>بنسبة</w:t>
      </w:r>
      <w:r w:rsidRPr="005A2E97">
        <w:rPr>
          <w:b/>
          <w:bCs/>
          <w:color w:val="000000"/>
          <w:rtl/>
        </w:rPr>
        <w:t xml:space="preserve"> </w:t>
      </w:r>
      <w:r w:rsidRPr="005A2E97">
        <w:rPr>
          <w:rFonts w:hint="cs"/>
          <w:b/>
          <w:bCs/>
          <w:color w:val="000000"/>
          <w:rtl/>
        </w:rPr>
        <w:t>14.7</w:t>
      </w:r>
      <w:r w:rsidRPr="005A2E97">
        <w:rPr>
          <w:b/>
          <w:bCs/>
          <w:color w:val="000000"/>
          <w:rtl/>
        </w:rPr>
        <w:t>%</w:t>
      </w:r>
      <w:r w:rsidRPr="005A2E97">
        <w:rPr>
          <w:rFonts w:ascii="Century Gothic" w:hAnsi="Century Gothic" w:cs="Simplified Arabic" w:hint="cs"/>
          <w:b/>
          <w:bCs/>
          <w:color w:val="000000"/>
          <w:rtl/>
        </w:rPr>
        <w:t xml:space="preserve"> مقارنة </w:t>
      </w:r>
      <w:r w:rsidRPr="005A2E97">
        <w:rPr>
          <w:rFonts w:hint="cs"/>
          <w:b/>
          <w:bCs/>
          <w:color w:val="000000"/>
          <w:rtl/>
        </w:rPr>
        <w:t>مع العام 2010 ليصل</w:t>
      </w:r>
      <w:r w:rsidRPr="005A2E97">
        <w:rPr>
          <w:rFonts w:ascii="Century Gothic" w:hAnsi="Century Gothic" w:cs="Simplified Arabic"/>
          <w:b/>
          <w:bCs/>
          <w:color w:val="000000"/>
          <w:rtl/>
        </w:rPr>
        <w:t xml:space="preserve"> </w:t>
      </w:r>
      <w:r w:rsidRPr="005A2E97">
        <w:rPr>
          <w:rFonts w:hint="cs"/>
          <w:b/>
          <w:bCs/>
          <w:color w:val="000000"/>
          <w:rtl/>
          <w:lang w:eastAsia="en-US"/>
        </w:rPr>
        <w:t>93</w:t>
      </w:r>
      <w:r w:rsidRPr="005A2E97">
        <w:rPr>
          <w:rFonts w:ascii="Century Gothic" w:hAnsi="Century Gothic" w:cs="Simplified Arabic" w:hint="cs"/>
          <w:b/>
          <w:bCs/>
          <w:color w:val="000000"/>
          <w:rtl/>
          <w:lang w:eastAsia="en-US"/>
        </w:rPr>
        <w:t xml:space="preserve"> ألف</w:t>
      </w:r>
      <w:r w:rsidRPr="005A2E97">
        <w:rPr>
          <w:rFonts w:ascii="Century Gothic" w:hAnsi="Century Gothic" w:cs="Simplified Arabic"/>
          <w:b/>
          <w:bCs/>
          <w:color w:val="000000"/>
          <w:rtl/>
          <w:lang w:eastAsia="en-US"/>
        </w:rPr>
        <w:t xml:space="preserve"> عامل</w:t>
      </w:r>
      <w:r w:rsidRPr="005A2E97">
        <w:rPr>
          <w:rFonts w:hint="cs"/>
          <w:b/>
          <w:bCs/>
          <w:color w:val="000000"/>
          <w:rtl/>
        </w:rPr>
        <w:t xml:space="preserve"> </w:t>
      </w:r>
      <w:r w:rsidRPr="005A2E97">
        <w:rPr>
          <w:rFonts w:ascii="Century Gothic" w:hAnsi="Century Gothic" w:cs="Simplified Arabic"/>
          <w:b/>
          <w:bCs/>
          <w:color w:val="000000"/>
          <w:rtl/>
        </w:rPr>
        <w:t>عام</w:t>
      </w:r>
      <w:r w:rsidRPr="005A2E97">
        <w:rPr>
          <w:b/>
          <w:bCs/>
          <w:color w:val="000000"/>
          <w:rtl/>
        </w:rPr>
        <w:t xml:space="preserve"> </w:t>
      </w:r>
      <w:r w:rsidRPr="005A2E97">
        <w:rPr>
          <w:rFonts w:hint="cs"/>
          <w:b/>
          <w:bCs/>
          <w:color w:val="000000"/>
          <w:rtl/>
        </w:rPr>
        <w:t>2011</w:t>
      </w:r>
      <w:r w:rsidRPr="005A2E97">
        <w:rPr>
          <w:rFonts w:ascii="Century Gothic" w:hAnsi="Century Gothic" w:cs="Simplified Arabic"/>
          <w:b/>
          <w:bCs/>
          <w:color w:val="000000"/>
          <w:rtl/>
          <w:lang w:eastAsia="en-US"/>
        </w:rPr>
        <w:t>.</w:t>
      </w:r>
      <w:r w:rsidRPr="005A2E97">
        <w:rPr>
          <w:rFonts w:ascii="Century Gothic" w:hAnsi="Century Gothic" w:cs="Simplified Arabic" w:hint="cs"/>
          <w:b/>
          <w:bCs/>
          <w:color w:val="000000"/>
          <w:rtl/>
          <w:lang w:eastAsia="en-US"/>
        </w:rPr>
        <w:t xml:space="preserve"> وقد </w:t>
      </w:r>
      <w:r w:rsidRPr="005A2E97">
        <w:rPr>
          <w:rFonts w:ascii="Century Gothic" w:hAnsi="Century Gothic" w:cs="Simplified Arabic"/>
          <w:b/>
          <w:bCs/>
          <w:color w:val="000000"/>
          <w:rtl/>
        </w:rPr>
        <w:t>بلغت نسبة مساهم</w:t>
      </w:r>
      <w:r w:rsidRPr="005A2E97">
        <w:rPr>
          <w:rFonts w:ascii="Century Gothic" w:hAnsi="Century Gothic" w:cs="Simplified Arabic" w:hint="cs"/>
          <w:b/>
          <w:bCs/>
          <w:color w:val="000000"/>
          <w:rtl/>
        </w:rPr>
        <w:t>ة نشاط الزراعة في</w:t>
      </w:r>
      <w:r w:rsidRPr="005A2E97">
        <w:rPr>
          <w:rFonts w:ascii="Century Gothic" w:hAnsi="Century Gothic" w:cs="Simplified Arabic"/>
          <w:b/>
          <w:bCs/>
          <w:color w:val="000000"/>
          <w:rtl/>
        </w:rPr>
        <w:t xml:space="preserve"> الناتج المحلي الإجمالي</w:t>
      </w:r>
      <w:r w:rsidRPr="005A2E97">
        <w:rPr>
          <w:b/>
          <w:bCs/>
          <w:color w:val="000000"/>
          <w:rtl/>
        </w:rPr>
        <w:t xml:space="preserve"> </w:t>
      </w:r>
      <w:r w:rsidRPr="005A2E97">
        <w:rPr>
          <w:b/>
          <w:bCs/>
          <w:color w:val="000000"/>
        </w:rPr>
        <w:t>5.5</w:t>
      </w:r>
      <w:r w:rsidRPr="005A2E97">
        <w:rPr>
          <w:b/>
          <w:bCs/>
          <w:color w:val="000000"/>
          <w:rtl/>
        </w:rPr>
        <w:t>%</w:t>
      </w:r>
      <w:r w:rsidRPr="005A2E97">
        <w:rPr>
          <w:rFonts w:ascii="Century Gothic" w:hAnsi="Century Gothic" w:cs="Simplified Arabic"/>
          <w:b/>
          <w:bCs/>
          <w:color w:val="000000"/>
          <w:rtl/>
        </w:rPr>
        <w:t xml:space="preserve">، </w:t>
      </w:r>
      <w:r w:rsidRPr="005A2E97">
        <w:rPr>
          <w:rFonts w:ascii="Century Gothic" w:hAnsi="Century Gothic" w:cs="Simplified Arabic" w:hint="cs"/>
          <w:b/>
          <w:bCs/>
          <w:color w:val="000000"/>
          <w:rtl/>
        </w:rPr>
        <w:t>و</w:t>
      </w:r>
      <w:r w:rsidRPr="005A2E97">
        <w:rPr>
          <w:rFonts w:ascii="Century Gothic" w:hAnsi="Century Gothic" w:cs="Simplified Arabic"/>
          <w:b/>
          <w:bCs/>
          <w:color w:val="000000"/>
          <w:rtl/>
        </w:rPr>
        <w:t>تشكل الأراضي الزراعية ما نسبته</w:t>
      </w:r>
      <w:r w:rsidRPr="005A2E97">
        <w:rPr>
          <w:b/>
          <w:bCs/>
          <w:color w:val="000000"/>
          <w:rtl/>
        </w:rPr>
        <w:t xml:space="preserve"> </w:t>
      </w:r>
      <w:r w:rsidRPr="005A2E97">
        <w:rPr>
          <w:rFonts w:hint="cs"/>
          <w:b/>
          <w:bCs/>
          <w:color w:val="000000"/>
          <w:rtl/>
        </w:rPr>
        <w:t>16.0</w:t>
      </w:r>
      <w:r w:rsidRPr="005A2E97">
        <w:rPr>
          <w:b/>
          <w:bCs/>
          <w:color w:val="000000"/>
          <w:rtl/>
        </w:rPr>
        <w:t>%</w:t>
      </w:r>
      <w:r w:rsidRPr="005A2E97">
        <w:rPr>
          <w:rFonts w:ascii="Century Gothic" w:hAnsi="Century Gothic" w:cs="Simplified Arabic"/>
          <w:b/>
          <w:bCs/>
          <w:color w:val="000000"/>
          <w:rtl/>
        </w:rPr>
        <w:t xml:space="preserve"> من إجمالي مساحة الأراضي </w:t>
      </w:r>
      <w:r w:rsidRPr="005A2E97">
        <w:rPr>
          <w:rFonts w:ascii="Century Gothic" w:hAnsi="Century Gothic" w:cs="Simplified Arabic" w:hint="cs"/>
          <w:b/>
          <w:bCs/>
          <w:color w:val="000000"/>
          <w:rtl/>
        </w:rPr>
        <w:t>الفلسطينية</w:t>
      </w:r>
      <w:r>
        <w:rPr>
          <w:rFonts w:ascii="Century Gothic" w:hAnsi="Century Gothic" w:cs="Simplified Arabic" w:hint="cs"/>
          <w:b/>
          <w:bCs/>
          <w:color w:val="000000"/>
          <w:rtl/>
        </w:rPr>
        <w:t>.</w:t>
      </w:r>
      <w:r w:rsidRPr="005577C0">
        <w:rPr>
          <w:rFonts w:ascii="Century Gothic" w:hAnsi="Century Gothic" w:cs="Simplified Arabic" w:hint="cs"/>
          <w:b/>
          <w:bCs/>
          <w:color w:val="000000"/>
          <w:rtl/>
        </w:rPr>
        <w:t xml:space="preserve"> </w:t>
      </w:r>
      <w:r w:rsidRPr="00165FD2">
        <w:rPr>
          <w:rFonts w:cs="Simplified Arabic" w:hint="cs"/>
          <w:color w:val="000000"/>
          <w:rtl/>
        </w:rPr>
        <w:t>من جهة أخرى</w:t>
      </w:r>
      <w:r>
        <w:rPr>
          <w:rFonts w:cs="Simplified Arabic" w:hint="cs"/>
          <w:color w:val="000000"/>
          <w:rtl/>
        </w:rPr>
        <w:t>،</w:t>
      </w:r>
      <w:r w:rsidRPr="00165FD2">
        <w:rPr>
          <w:rFonts w:cs="Simplified Arabic" w:hint="cs"/>
          <w:color w:val="000000"/>
          <w:rtl/>
        </w:rPr>
        <w:t xml:space="preserve"> بلغت إنتاجية العامل في نشاط الزراعة </w:t>
      </w:r>
      <w:r>
        <w:rPr>
          <w:color w:val="000000"/>
        </w:rPr>
        <w:t>3</w:t>
      </w:r>
      <w:r w:rsidRPr="00165FD2">
        <w:rPr>
          <w:color w:val="000000"/>
        </w:rPr>
        <w:t>,</w:t>
      </w:r>
      <w:r>
        <w:rPr>
          <w:color w:val="000000"/>
        </w:rPr>
        <w:t>721.5</w:t>
      </w:r>
      <w:r w:rsidRPr="00165FD2">
        <w:rPr>
          <w:rFonts w:cs="Simplified Arabic" w:hint="cs"/>
          <w:color w:val="000000"/>
          <w:rtl/>
        </w:rPr>
        <w:t xml:space="preserve"> دولار، </w:t>
      </w:r>
      <w:r>
        <w:rPr>
          <w:rFonts w:cs="Simplified Arabic" w:hint="cs"/>
          <w:color w:val="000000"/>
          <w:rtl/>
        </w:rPr>
        <w:t>وهي الأدنى في الأنشطة الاقتصادية الرئيسية، كما يتضح من جدول 10، كما أن معدل الأجر اليومي الاسمي في هذا النشاط هو الأدنى أيضا، حيث بلغ 55.7 شيكل عام 2011، مقارنة مع معدل الأجر اليومي الاسمي في الاقتصاد والبالغ 91.7 شيكل</w:t>
      </w:r>
      <w:r w:rsidRPr="00165FD2">
        <w:rPr>
          <w:rFonts w:cs="Simplified Arabic" w:hint="cs"/>
          <w:color w:val="000000"/>
          <w:rtl/>
        </w:rPr>
        <w:t>.</w:t>
      </w:r>
    </w:p>
    <w:p w:rsidR="00C743BA" w:rsidRPr="005577C0" w:rsidRDefault="00C743BA" w:rsidP="00C743BA">
      <w:pPr>
        <w:pStyle w:val="BodyText"/>
        <w:spacing w:before="240"/>
        <w:rPr>
          <w:rFonts w:ascii="Arial" w:hAnsi="Arial"/>
          <w:color w:val="000000"/>
          <w:rtl/>
          <w:lang w:eastAsia="en-US"/>
        </w:rPr>
      </w:pPr>
      <w:r w:rsidRPr="005A2E97">
        <w:rPr>
          <w:rFonts w:hint="cs"/>
          <w:b/>
          <w:bCs/>
          <w:color w:val="000000"/>
          <w:rtl/>
        </w:rPr>
        <w:lastRenderedPageBreak/>
        <w:t>يعتبر نشاط تجارة التجزئة والجملة من الأنشطة الهامة في الاقتصاد الفلسطيني، حيث ارتفع عدد العاملين</w:t>
      </w:r>
      <w:r w:rsidRPr="005A2E97">
        <w:rPr>
          <w:rFonts w:cs="Times New Roman" w:hint="cs"/>
          <w:b/>
          <w:bCs/>
          <w:color w:val="000000"/>
          <w:rtl/>
        </w:rPr>
        <w:t xml:space="preserve"> في هذا النشاط بنسبة </w:t>
      </w:r>
      <w:r w:rsidRPr="005A2E97">
        <w:rPr>
          <w:rFonts w:hint="cs"/>
          <w:b/>
          <w:bCs/>
          <w:color w:val="000000"/>
          <w:rtl/>
        </w:rPr>
        <w:t xml:space="preserve">22.5% عام 2011 مقارنة مع عام 2010، ليبلغ </w:t>
      </w:r>
      <w:r w:rsidRPr="005A2E97">
        <w:rPr>
          <w:rFonts w:cs="Times New Roman" w:hint="cs"/>
          <w:b/>
          <w:bCs/>
          <w:color w:val="000000"/>
          <w:rtl/>
          <w:lang w:eastAsia="en-US"/>
        </w:rPr>
        <w:t>154 ألف</w:t>
      </w:r>
      <w:r w:rsidRPr="005A2E97">
        <w:rPr>
          <w:rFonts w:ascii="Arial" w:hAnsi="Arial" w:hint="cs"/>
          <w:b/>
          <w:bCs/>
          <w:color w:val="000000"/>
          <w:rtl/>
          <w:lang w:eastAsia="en-US"/>
        </w:rPr>
        <w:t xml:space="preserve"> عامل</w:t>
      </w:r>
      <w:r w:rsidRPr="005A2E97">
        <w:rPr>
          <w:rFonts w:hint="cs"/>
          <w:b/>
          <w:bCs/>
          <w:color w:val="000000"/>
          <w:rtl/>
        </w:rPr>
        <w:t xml:space="preserve">، وترافق ذلك مع ارتفاع في القيمة المضافة لهذا النشاط بنسبة 8.9% خلال العام 2011. </w:t>
      </w:r>
      <w:r w:rsidRPr="00F354D0">
        <w:rPr>
          <w:rFonts w:hint="cs"/>
          <w:color w:val="000000"/>
          <w:rtl/>
        </w:rPr>
        <w:t>كما بلغت مساهم</w:t>
      </w:r>
      <w:r w:rsidRPr="00F354D0">
        <w:rPr>
          <w:rFonts w:hint="eastAsia"/>
          <w:color w:val="000000"/>
          <w:rtl/>
        </w:rPr>
        <w:t>ة</w:t>
      </w:r>
      <w:r w:rsidRPr="00F354D0">
        <w:rPr>
          <w:rFonts w:hint="cs"/>
          <w:color w:val="000000"/>
          <w:rtl/>
        </w:rPr>
        <w:t xml:space="preserve"> نشاط تجارة التجزئة والجملة في الناتج المحلي الإجمالي 9.3% عام 2011، ولكن معدل الأجور والإنتاجية فيه ظلت منخفضة، حيث بلغ معدل الأجر اليومي الاسمي 70.3 شيكل ومعدل الإنتاجية 3</w:t>
      </w:r>
      <w:r w:rsidR="00FC43A3">
        <w:rPr>
          <w:rFonts w:hint="cs"/>
          <w:color w:val="000000"/>
          <w:rtl/>
        </w:rPr>
        <w:t>,</w:t>
      </w:r>
      <w:r w:rsidRPr="00F354D0">
        <w:rPr>
          <w:rFonts w:hint="cs"/>
          <w:color w:val="000000"/>
          <w:rtl/>
        </w:rPr>
        <w:t>809.2 دولار للعامل، وهما أقل بشكل ملحوظ من معدل الأجور والإنتاجية في الاقتصاد ككل</w:t>
      </w:r>
      <w:r w:rsidRPr="00165FD2">
        <w:rPr>
          <w:rFonts w:hint="cs"/>
          <w:color w:val="000000"/>
          <w:rtl/>
        </w:rPr>
        <w:t>.</w:t>
      </w:r>
    </w:p>
    <w:p w:rsidR="00C743BA" w:rsidRPr="00467545" w:rsidRDefault="00C743BA" w:rsidP="00C743BA">
      <w:pPr>
        <w:pStyle w:val="BodyText"/>
        <w:spacing w:before="240"/>
        <w:rPr>
          <w:color w:val="000000"/>
          <w:rtl/>
        </w:rPr>
      </w:pPr>
      <w:r w:rsidRPr="005A2E97">
        <w:rPr>
          <w:rFonts w:hint="cs"/>
          <w:b/>
          <w:bCs/>
          <w:color w:val="000000"/>
          <w:rtl/>
        </w:rPr>
        <w:t xml:space="preserve">أما بالنسبة لنشاط الإنشاءات، فقد ارتفعت القيمة المضافة فيه بنسبة </w:t>
      </w:r>
      <w:r w:rsidRPr="005A2E97">
        <w:rPr>
          <w:b/>
          <w:bCs/>
          <w:color w:val="000000"/>
        </w:rPr>
        <w:t>26.9</w:t>
      </w:r>
      <w:r w:rsidRPr="005A2E97">
        <w:rPr>
          <w:rFonts w:hint="cs"/>
          <w:b/>
          <w:bCs/>
          <w:color w:val="000000"/>
          <w:rtl/>
        </w:rPr>
        <w:t>% خلال عام 2011 مقارنة مع عام 2010، كما  ارتفع عدد العاملين فيه</w:t>
      </w:r>
      <w:r>
        <w:rPr>
          <w:b/>
          <w:bCs/>
          <w:color w:val="000000"/>
          <w:rtl/>
        </w:rPr>
        <w:t xml:space="preserve"> بنسبة 22.6% ليصل إلى 70 ألف</w:t>
      </w:r>
      <w:r>
        <w:rPr>
          <w:rFonts w:ascii="Arial" w:hAnsi="Arial"/>
          <w:b/>
          <w:bCs/>
          <w:color w:val="000000"/>
          <w:rtl/>
          <w:lang w:eastAsia="en-US"/>
        </w:rPr>
        <w:t xml:space="preserve"> </w:t>
      </w:r>
      <w:r>
        <w:rPr>
          <w:rFonts w:hint="eastAsia"/>
          <w:b/>
          <w:bCs/>
          <w:color w:val="000000"/>
          <w:rtl/>
        </w:rPr>
        <w:t>عامل</w:t>
      </w:r>
      <w:r>
        <w:rPr>
          <w:b/>
          <w:bCs/>
          <w:color w:val="000000"/>
          <w:rtl/>
        </w:rPr>
        <w:t xml:space="preserve"> </w:t>
      </w:r>
      <w:r>
        <w:rPr>
          <w:rFonts w:hint="eastAsia"/>
          <w:b/>
          <w:bCs/>
          <w:color w:val="000000"/>
          <w:rtl/>
        </w:rPr>
        <w:t>خلال</w:t>
      </w:r>
      <w:r>
        <w:rPr>
          <w:b/>
          <w:bCs/>
          <w:color w:val="000000"/>
          <w:rtl/>
        </w:rPr>
        <w:t xml:space="preserve"> </w:t>
      </w:r>
      <w:r>
        <w:rPr>
          <w:rFonts w:hint="eastAsia"/>
          <w:b/>
          <w:bCs/>
          <w:color w:val="000000"/>
          <w:rtl/>
        </w:rPr>
        <w:t>عام</w:t>
      </w:r>
      <w:r w:rsidRPr="005A2E97">
        <w:rPr>
          <w:rFonts w:hint="cs"/>
          <w:b/>
          <w:bCs/>
          <w:color w:val="000000"/>
          <w:rtl/>
        </w:rPr>
        <w:t xml:space="preserve"> 2011.</w:t>
      </w:r>
      <w:r>
        <w:rPr>
          <w:rFonts w:hint="cs"/>
          <w:color w:val="000000"/>
          <w:rtl/>
        </w:rPr>
        <w:t xml:space="preserve"> </w:t>
      </w:r>
      <w:r w:rsidRPr="00467545">
        <w:rPr>
          <w:rFonts w:hint="cs"/>
          <w:color w:val="000000"/>
          <w:rtl/>
        </w:rPr>
        <w:t xml:space="preserve">من جانب أخر بلغ معدل الأجر اليومي الاسمي للعامل في نشاط الإنشاءات 119.3 شيكل وهو أعلى معدل اجر يومي اسمي بين الأنشطة الاقتصادية، كما بلغ معدل إنتاجية العامل </w:t>
      </w:r>
      <w:r w:rsidRPr="00467545">
        <w:rPr>
          <w:color w:val="000000"/>
        </w:rPr>
        <w:t xml:space="preserve">10,117.1 </w:t>
      </w:r>
      <w:r w:rsidRPr="00467545">
        <w:rPr>
          <w:color w:val="000000"/>
          <w:rtl/>
        </w:rPr>
        <w:t xml:space="preserve"> </w:t>
      </w:r>
      <w:r w:rsidRPr="00467545">
        <w:rPr>
          <w:rFonts w:hint="cs"/>
          <w:color w:val="000000"/>
          <w:rtl/>
        </w:rPr>
        <w:t>دولار</w:t>
      </w:r>
      <w:r>
        <w:rPr>
          <w:rFonts w:hint="cs"/>
          <w:color w:val="000000"/>
          <w:rtl/>
        </w:rPr>
        <w:t>، وهو أيضا أعلى معدل للإنتاجية بين الأنشطة الاقتصادية الرئيسية</w:t>
      </w:r>
      <w:r w:rsidRPr="00467545">
        <w:rPr>
          <w:rFonts w:hint="cs"/>
          <w:color w:val="000000"/>
          <w:rtl/>
        </w:rPr>
        <w:t>. ويشكل نشاط الإنشاءات بنداً أساسياً في التكوين الرأسمالي الثابت الذي يدخل ضمن احتساب الناتج المحلي الإجمالي</w:t>
      </w:r>
      <w:r>
        <w:rPr>
          <w:rFonts w:hint="cs"/>
          <w:color w:val="000000"/>
          <w:rtl/>
        </w:rPr>
        <w:t>، وهو يمثل بالتالي</w:t>
      </w:r>
      <w:r w:rsidRPr="005B4E0E">
        <w:rPr>
          <w:rFonts w:hint="cs"/>
          <w:color w:val="000000"/>
          <w:rtl/>
        </w:rPr>
        <w:t xml:space="preserve"> </w:t>
      </w:r>
      <w:r w:rsidRPr="00467545">
        <w:rPr>
          <w:rFonts w:hint="cs"/>
          <w:color w:val="000000"/>
          <w:rtl/>
        </w:rPr>
        <w:t>بعداً أساسيا في دراسة بنية وتطور الاقتصاد الفلسطيني</w:t>
      </w:r>
      <w:r>
        <w:rPr>
          <w:rFonts w:hint="cs"/>
          <w:color w:val="000000"/>
          <w:rtl/>
        </w:rPr>
        <w:t>.</w:t>
      </w:r>
    </w:p>
    <w:p w:rsidR="00C743BA" w:rsidRPr="004A52DA" w:rsidRDefault="00C743BA" w:rsidP="00C743BA">
      <w:pPr>
        <w:spacing w:before="240"/>
        <w:jc w:val="lowKashida"/>
        <w:rPr>
          <w:rFonts w:cs="Simplified Arabic"/>
          <w:b/>
          <w:bCs/>
          <w:color w:val="000000"/>
          <w:rtl/>
        </w:rPr>
      </w:pPr>
      <w:r>
        <w:rPr>
          <w:rFonts w:cs="Simplified Arabic" w:hint="cs"/>
          <w:b/>
          <w:bCs/>
          <w:color w:val="000000"/>
          <w:rtl/>
        </w:rPr>
        <w:t>و</w:t>
      </w:r>
      <w:r w:rsidRPr="004A52DA">
        <w:rPr>
          <w:rFonts w:cs="Simplified Arabic" w:hint="cs"/>
          <w:b/>
          <w:bCs/>
          <w:color w:val="000000"/>
          <w:rtl/>
        </w:rPr>
        <w:t>تعتبر رخص الأبنية من المؤشرات التي تدل على واقع الإنشاءات في الأراضي الفلسطينية</w:t>
      </w:r>
      <w:r>
        <w:rPr>
          <w:rFonts w:cs="Simplified Arabic" w:hint="cs"/>
          <w:b/>
          <w:bCs/>
          <w:color w:val="000000"/>
          <w:rtl/>
        </w:rPr>
        <w:t>.</w:t>
      </w:r>
      <w:r w:rsidRPr="004A52DA">
        <w:rPr>
          <w:rFonts w:cs="Simplified Arabic" w:hint="cs"/>
          <w:b/>
          <w:bCs/>
          <w:color w:val="000000"/>
          <w:rtl/>
        </w:rPr>
        <w:t xml:space="preserve"> </w:t>
      </w:r>
      <w:r>
        <w:rPr>
          <w:rFonts w:cs="Simplified Arabic" w:hint="cs"/>
          <w:b/>
          <w:bCs/>
          <w:color w:val="000000"/>
          <w:rtl/>
        </w:rPr>
        <w:t>و</w:t>
      </w:r>
      <w:r w:rsidRPr="004A52DA">
        <w:rPr>
          <w:rFonts w:cs="Simplified Arabic" w:hint="cs"/>
          <w:b/>
          <w:bCs/>
          <w:color w:val="000000"/>
          <w:rtl/>
        </w:rPr>
        <w:t xml:space="preserve">خلال عام 2011 </w:t>
      </w:r>
      <w:r>
        <w:rPr>
          <w:rFonts w:cs="Simplified Arabic" w:hint="cs"/>
          <w:b/>
          <w:bCs/>
          <w:color w:val="000000"/>
          <w:rtl/>
        </w:rPr>
        <w:t xml:space="preserve">زادت رخص الأبنية </w:t>
      </w:r>
      <w:r w:rsidRPr="004A52DA">
        <w:rPr>
          <w:rFonts w:hint="cs"/>
          <w:b/>
          <w:bCs/>
          <w:color w:val="000000"/>
          <w:rtl/>
        </w:rPr>
        <w:t xml:space="preserve">بنسبة 21.7% </w:t>
      </w:r>
      <w:r w:rsidRPr="004A52DA">
        <w:rPr>
          <w:rFonts w:cs="Simplified Arabic" w:hint="cs"/>
          <w:b/>
          <w:bCs/>
          <w:color w:val="000000"/>
          <w:rtl/>
        </w:rPr>
        <w:t xml:space="preserve">مقارنة مع 2010. </w:t>
      </w:r>
      <w:r>
        <w:rPr>
          <w:rFonts w:cs="Simplified Arabic" w:hint="cs"/>
          <w:b/>
          <w:bCs/>
          <w:color w:val="000000"/>
          <w:rtl/>
        </w:rPr>
        <w:t>و</w:t>
      </w:r>
      <w:r w:rsidRPr="004A52DA">
        <w:rPr>
          <w:rFonts w:cs="Simplified Arabic" w:hint="cs"/>
          <w:b/>
          <w:bCs/>
          <w:color w:val="000000"/>
          <w:rtl/>
        </w:rPr>
        <w:t xml:space="preserve">تبين النتائج </w:t>
      </w:r>
      <w:r>
        <w:rPr>
          <w:rFonts w:cs="Simplified Arabic" w:hint="cs"/>
          <w:b/>
          <w:bCs/>
          <w:color w:val="000000"/>
          <w:rtl/>
        </w:rPr>
        <w:t>وجود</w:t>
      </w:r>
      <w:r w:rsidRPr="004A52DA">
        <w:rPr>
          <w:rFonts w:cs="Simplified Arabic" w:hint="cs"/>
          <w:b/>
          <w:bCs/>
          <w:color w:val="000000"/>
          <w:rtl/>
        </w:rPr>
        <w:t xml:space="preserve"> حركة إنشائية </w:t>
      </w:r>
      <w:r>
        <w:rPr>
          <w:rFonts w:cs="Simplified Arabic" w:hint="cs"/>
          <w:b/>
          <w:bCs/>
          <w:color w:val="000000"/>
          <w:rtl/>
        </w:rPr>
        <w:t xml:space="preserve">نشطة </w:t>
      </w:r>
      <w:r w:rsidRPr="004A52DA">
        <w:rPr>
          <w:rFonts w:cs="Simplified Arabic" w:hint="cs"/>
          <w:b/>
          <w:bCs/>
          <w:color w:val="000000"/>
          <w:rtl/>
        </w:rPr>
        <w:t xml:space="preserve">خلال عام 2011 تركزت </w:t>
      </w:r>
      <w:r>
        <w:rPr>
          <w:rFonts w:cs="Simplified Arabic" w:hint="cs"/>
          <w:b/>
          <w:bCs/>
          <w:color w:val="000000"/>
          <w:rtl/>
        </w:rPr>
        <w:t>في</w:t>
      </w:r>
      <w:r w:rsidRPr="004A52DA">
        <w:rPr>
          <w:rFonts w:cs="Simplified Arabic" w:hint="cs"/>
          <w:b/>
          <w:bCs/>
          <w:color w:val="000000"/>
          <w:rtl/>
        </w:rPr>
        <w:t xml:space="preserve"> الأبنية الجديدة</w:t>
      </w:r>
      <w:r>
        <w:rPr>
          <w:rFonts w:cs="Simplified Arabic" w:hint="cs"/>
          <w:b/>
          <w:bCs/>
          <w:color w:val="000000"/>
          <w:rtl/>
        </w:rPr>
        <w:t>،</w:t>
      </w:r>
      <w:r w:rsidRPr="004A52DA">
        <w:rPr>
          <w:rFonts w:cs="Simplified Arabic" w:hint="cs"/>
          <w:b/>
          <w:bCs/>
          <w:color w:val="000000"/>
          <w:rtl/>
        </w:rPr>
        <w:t xml:space="preserve"> حيث أظهرت السجلات الإدارية الصادرة عن وزارة الحكم المحلي أن حوالي 56.7% من الرخص الصادرة هي رخصا لأبنية جديدة.</w:t>
      </w:r>
      <w:r w:rsidRPr="00467545">
        <w:rPr>
          <w:rFonts w:cs="Simplified Arabic" w:hint="cs"/>
          <w:color w:val="000000"/>
          <w:rtl/>
        </w:rPr>
        <w:t xml:space="preserve"> </w:t>
      </w:r>
      <w:r w:rsidRPr="00165FD2">
        <w:rPr>
          <w:rFonts w:cs="Simplified Arabic" w:hint="cs"/>
          <w:color w:val="000000"/>
          <w:rtl/>
        </w:rPr>
        <w:t>ويظهر الشكل</w:t>
      </w:r>
      <w:r>
        <w:rPr>
          <w:rFonts w:cs="Simplified Arabic" w:hint="cs"/>
          <w:color w:val="000000"/>
          <w:rtl/>
        </w:rPr>
        <w:t xml:space="preserve"> 21</w:t>
      </w:r>
      <w:r w:rsidRPr="00165FD2">
        <w:rPr>
          <w:rFonts w:cs="Simplified Arabic" w:hint="cs"/>
          <w:color w:val="000000"/>
          <w:rtl/>
        </w:rPr>
        <w:t xml:space="preserve"> وجود تذبذب واضح في عدد رخص الأبنية الصادرة في </w:t>
      </w:r>
      <w:r>
        <w:rPr>
          <w:rFonts w:cs="Simplified Arabic" w:hint="cs"/>
          <w:color w:val="000000"/>
          <w:rtl/>
        </w:rPr>
        <w:t xml:space="preserve">الاراضي الفلسطينية </w:t>
      </w:r>
      <w:r w:rsidRPr="00165FD2">
        <w:rPr>
          <w:rFonts w:cs="Simplified Arabic" w:hint="cs"/>
          <w:color w:val="000000"/>
          <w:rtl/>
        </w:rPr>
        <w:t>خلال الفترة 2004-2011</w:t>
      </w:r>
      <w:r>
        <w:rPr>
          <w:rFonts w:cs="Simplified Arabic" w:hint="cs"/>
          <w:color w:val="000000"/>
          <w:rtl/>
        </w:rPr>
        <w:t>،</w:t>
      </w:r>
      <w:r w:rsidRPr="00165FD2">
        <w:rPr>
          <w:rFonts w:cs="Simplified Arabic" w:hint="cs"/>
          <w:color w:val="000000"/>
          <w:rtl/>
        </w:rPr>
        <w:t xml:space="preserve"> </w:t>
      </w:r>
      <w:r>
        <w:rPr>
          <w:rFonts w:cs="Simplified Arabic" w:hint="cs"/>
          <w:color w:val="000000"/>
          <w:rtl/>
        </w:rPr>
        <w:t>حيث</w:t>
      </w:r>
      <w:r w:rsidRPr="00165FD2">
        <w:rPr>
          <w:rFonts w:cs="Simplified Arabic" w:hint="cs"/>
          <w:color w:val="000000"/>
          <w:rtl/>
        </w:rPr>
        <w:t xml:space="preserve"> أظهرت السجلات الإدارية ارتفاع في عدد الرخص الصادرة </w:t>
      </w:r>
      <w:r>
        <w:rPr>
          <w:rFonts w:cs="Simplified Arabic" w:hint="cs"/>
          <w:color w:val="000000"/>
          <w:rtl/>
        </w:rPr>
        <w:t>خلال ال</w:t>
      </w:r>
      <w:r w:rsidRPr="00165FD2">
        <w:rPr>
          <w:rFonts w:cs="Simplified Arabic" w:hint="cs"/>
          <w:color w:val="000000"/>
          <w:rtl/>
        </w:rPr>
        <w:t xml:space="preserve">عام 2005، </w:t>
      </w:r>
      <w:r>
        <w:rPr>
          <w:rFonts w:cs="Simplified Arabic" w:hint="cs"/>
          <w:color w:val="000000"/>
          <w:rtl/>
        </w:rPr>
        <w:t>تلاه</w:t>
      </w:r>
      <w:r w:rsidRPr="00165FD2">
        <w:rPr>
          <w:rFonts w:cs="Simplified Arabic" w:hint="cs"/>
          <w:color w:val="000000"/>
          <w:rtl/>
        </w:rPr>
        <w:t xml:space="preserve"> انخفاض حاد عام 2007 </w:t>
      </w:r>
      <w:r>
        <w:rPr>
          <w:rFonts w:cs="Simplified Arabic" w:hint="cs"/>
          <w:color w:val="000000"/>
          <w:rtl/>
        </w:rPr>
        <w:t>حيث</w:t>
      </w:r>
      <w:r w:rsidRPr="00165FD2">
        <w:rPr>
          <w:rFonts w:cs="Simplified Arabic" w:hint="cs"/>
          <w:color w:val="000000"/>
          <w:rtl/>
        </w:rPr>
        <w:t xml:space="preserve"> بلغ إجمالي عدد رخص الأبنية 488</w:t>
      </w:r>
      <w:r w:rsidRPr="00165FD2">
        <w:rPr>
          <w:rFonts w:cs="Simplified Arabic"/>
          <w:color w:val="000000"/>
          <w:lang w:eastAsia="en-US"/>
        </w:rPr>
        <w:t>4,</w:t>
      </w:r>
      <w:r w:rsidRPr="00165FD2">
        <w:rPr>
          <w:rFonts w:cs="Simplified Arabic" w:hint="cs"/>
          <w:color w:val="000000"/>
          <w:rtl/>
          <w:lang w:eastAsia="en-US"/>
        </w:rPr>
        <w:t xml:space="preserve"> رخصة، ثم بدأ المؤشر بالارتفاع منذ عام 2008 وحتى عام 2011 محققاً أعلى قيمة له خلال تلك السنة بواقع 708</w:t>
      </w:r>
      <w:r w:rsidRPr="00165FD2">
        <w:rPr>
          <w:rFonts w:cs="Simplified Arabic"/>
          <w:color w:val="000000"/>
          <w:lang w:eastAsia="en-US"/>
        </w:rPr>
        <w:t>7,</w:t>
      </w:r>
      <w:r w:rsidRPr="00165FD2">
        <w:rPr>
          <w:rFonts w:cs="Simplified Arabic" w:hint="cs"/>
          <w:color w:val="000000"/>
          <w:rtl/>
          <w:lang w:eastAsia="en-US"/>
        </w:rPr>
        <w:t xml:space="preserve"> رخصة</w:t>
      </w:r>
      <w:r w:rsidRPr="00165FD2">
        <w:rPr>
          <w:rFonts w:cs="Simplified Arabic"/>
          <w:color w:val="000000"/>
          <w:lang w:eastAsia="en-US"/>
        </w:rPr>
        <w:t>.</w:t>
      </w:r>
      <w:r w:rsidRPr="00165FD2">
        <w:rPr>
          <w:rFonts w:cs="Simplified Arabic" w:hint="cs"/>
          <w:color w:val="000000"/>
          <w:rtl/>
        </w:rPr>
        <w:t xml:space="preserve"> </w:t>
      </w:r>
    </w:p>
    <w:p w:rsidR="00C743BA" w:rsidRPr="00467545" w:rsidRDefault="00C743BA" w:rsidP="00C743BA">
      <w:pPr>
        <w:jc w:val="lowKashida"/>
        <w:rPr>
          <w:rFonts w:cs="Simplified Arabic"/>
          <w:b/>
          <w:bCs/>
          <w:color w:val="000000"/>
          <w:rtl/>
        </w:rPr>
      </w:pPr>
    </w:p>
    <w:p w:rsidR="00C743BA" w:rsidRPr="00165FD2" w:rsidRDefault="00C743BA" w:rsidP="009C583A">
      <w:pPr>
        <w:pStyle w:val="Heading1"/>
        <w:ind w:left="346" w:hanging="496"/>
        <w:rPr>
          <w:color w:val="000000"/>
          <w:sz w:val="22"/>
          <w:szCs w:val="22"/>
          <w:rtl/>
        </w:rPr>
      </w:pPr>
      <w:r w:rsidRPr="00165FD2">
        <w:rPr>
          <w:rFonts w:hint="cs"/>
          <w:color w:val="000000"/>
          <w:rtl/>
        </w:rPr>
        <w:t>شكل</w:t>
      </w:r>
      <w:r w:rsidR="009C583A">
        <w:rPr>
          <w:rFonts w:hint="cs"/>
          <w:color w:val="000000"/>
          <w:rtl/>
        </w:rPr>
        <w:t xml:space="preserve"> 21</w:t>
      </w:r>
      <w:r w:rsidRPr="00165FD2">
        <w:rPr>
          <w:rFonts w:hint="cs"/>
          <w:color w:val="000000"/>
          <w:rtl/>
        </w:rPr>
        <w:t>: رخص الأبنية الصادرة في الأراضي الفلسطينية، (2004-2011)</w:t>
      </w:r>
    </w:p>
    <w:p w:rsidR="00C743BA" w:rsidRPr="00165FD2" w:rsidRDefault="00C743BA" w:rsidP="00C743BA">
      <w:pPr>
        <w:spacing w:after="120"/>
        <w:ind w:left="346" w:hanging="493"/>
        <w:jc w:val="center"/>
        <w:rPr>
          <w:color w:val="000000"/>
          <w:rtl/>
        </w:rPr>
      </w:pPr>
      <w:r>
        <w:rPr>
          <w:noProof/>
          <w:color w:val="000000"/>
          <w:lang w:eastAsia="en-US"/>
        </w:rPr>
        <w:drawing>
          <wp:inline distT="0" distB="0" distL="0" distR="0">
            <wp:extent cx="4686300" cy="2457450"/>
            <wp:effectExtent l="0" t="0" r="0" b="0"/>
            <wp:docPr id="16"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FD08E5" w:rsidRDefault="00C743BA" w:rsidP="00C743BA">
      <w:pPr>
        <w:ind w:left="346" w:hanging="496"/>
        <w:jc w:val="both"/>
        <w:rPr>
          <w:color w:val="000000"/>
          <w:rtl/>
        </w:rPr>
      </w:pPr>
      <w:r>
        <w:rPr>
          <w:rFonts w:hint="cs"/>
          <w:color w:val="000000"/>
          <w:rtl/>
        </w:rPr>
        <w:t xml:space="preserve">     </w:t>
      </w:r>
      <w:r w:rsidRPr="00165FD2">
        <w:rPr>
          <w:rFonts w:hint="cs"/>
          <w:color w:val="000000"/>
          <w:rtl/>
        </w:rPr>
        <w:t xml:space="preserve">  </w:t>
      </w:r>
    </w:p>
    <w:p w:rsidR="00FD08E5" w:rsidRDefault="00FD08E5" w:rsidP="00C743BA">
      <w:pPr>
        <w:ind w:left="346" w:hanging="496"/>
        <w:jc w:val="both"/>
        <w:rPr>
          <w:color w:val="000000"/>
          <w:rtl/>
        </w:rPr>
      </w:pPr>
    </w:p>
    <w:p w:rsidR="00C743BA" w:rsidRPr="00C743BA" w:rsidRDefault="00C743BA" w:rsidP="00FD08E5">
      <w:pPr>
        <w:ind w:left="346" w:hanging="496"/>
        <w:jc w:val="both"/>
        <w:rPr>
          <w:color w:val="000000"/>
          <w:rtl/>
        </w:rPr>
      </w:pPr>
      <w:r w:rsidRPr="00165FD2">
        <w:rPr>
          <w:rFonts w:hint="cs"/>
          <w:color w:val="000000"/>
          <w:rtl/>
        </w:rPr>
        <w:lastRenderedPageBreak/>
        <w:t xml:space="preserve">  </w:t>
      </w:r>
      <w:r w:rsidR="00FD08E5">
        <w:rPr>
          <w:rFonts w:cs="Simplified Arabic" w:hint="cs"/>
          <w:b/>
          <w:bCs/>
          <w:color w:val="000000"/>
          <w:rtl/>
        </w:rPr>
        <w:t xml:space="preserve">     </w:t>
      </w:r>
      <w:r w:rsidRPr="00DA0C85">
        <w:rPr>
          <w:rFonts w:cs="Simplified Arabic" w:hint="cs"/>
          <w:b/>
          <w:bCs/>
          <w:color w:val="000000"/>
          <w:rtl/>
        </w:rPr>
        <w:t>كما تعتبر كميات الإسمنت المستوردة من الخارج أحد المؤشرات الهامة التي تعكس أداء قطاع الإنشاءات في الأراضي</w:t>
      </w:r>
      <w:r w:rsidRPr="00101033">
        <w:rPr>
          <w:rFonts w:cs="Simplified Arabic" w:hint="cs"/>
          <w:b/>
          <w:bCs/>
          <w:color w:val="000000"/>
          <w:rtl/>
        </w:rPr>
        <w:t xml:space="preserve"> الفلسطينية</w:t>
      </w:r>
      <w:r>
        <w:rPr>
          <w:rFonts w:cs="Simplified Arabic" w:hint="cs"/>
          <w:b/>
          <w:bCs/>
          <w:color w:val="000000"/>
          <w:rtl/>
        </w:rPr>
        <w:t>. وقد</w:t>
      </w:r>
      <w:r w:rsidRPr="00101033">
        <w:rPr>
          <w:rFonts w:cs="Simplified Arabic" w:hint="cs"/>
          <w:b/>
          <w:bCs/>
          <w:color w:val="000000"/>
          <w:rtl/>
        </w:rPr>
        <w:t xml:space="preserve"> انخفضت كميات الإسمنت المستوردة عام 2011 بنسبة </w:t>
      </w:r>
      <w:proofErr w:type="spellStart"/>
      <w:r w:rsidRPr="00101033">
        <w:rPr>
          <w:rFonts w:cs="Simplified Arabic" w:hint="cs"/>
          <w:b/>
          <w:bCs/>
          <w:color w:val="000000"/>
          <w:rtl/>
        </w:rPr>
        <w:t>1.3%</w:t>
      </w:r>
      <w:proofErr w:type="spellEnd"/>
      <w:r w:rsidRPr="00101033">
        <w:rPr>
          <w:rFonts w:cs="Simplified Arabic" w:hint="cs"/>
          <w:b/>
          <w:bCs/>
          <w:color w:val="000000"/>
          <w:rtl/>
        </w:rPr>
        <w:t xml:space="preserve"> لتصل إلى </w:t>
      </w:r>
      <w:r w:rsidRPr="00101033">
        <w:rPr>
          <w:b/>
          <w:bCs/>
          <w:color w:val="000000"/>
          <w:lang w:eastAsia="en-US"/>
        </w:rPr>
        <w:t>1,326.3</w:t>
      </w:r>
      <w:r w:rsidRPr="00101033">
        <w:rPr>
          <w:rFonts w:ascii="Arial" w:hAnsi="Arial" w:cs="Simplified Arabic" w:hint="cs"/>
          <w:b/>
          <w:bCs/>
          <w:color w:val="000000"/>
          <w:rtl/>
          <w:lang w:eastAsia="en-US"/>
        </w:rPr>
        <w:t xml:space="preserve"> الف طن </w:t>
      </w:r>
      <w:r w:rsidRPr="00101033">
        <w:rPr>
          <w:rFonts w:cs="Simplified Arabic" w:hint="cs"/>
          <w:b/>
          <w:bCs/>
          <w:color w:val="000000"/>
          <w:rtl/>
        </w:rPr>
        <w:t xml:space="preserve">خلال عام 2011 </w:t>
      </w:r>
      <w:r>
        <w:rPr>
          <w:rFonts w:cs="Simplified Arabic" w:hint="cs"/>
          <w:b/>
          <w:bCs/>
          <w:color w:val="000000"/>
          <w:rtl/>
        </w:rPr>
        <w:t>مقارنة مع</w:t>
      </w:r>
      <w:r w:rsidRPr="00101033">
        <w:rPr>
          <w:rFonts w:cs="Simplified Arabic" w:hint="cs"/>
          <w:b/>
          <w:bCs/>
          <w:color w:val="000000"/>
          <w:rtl/>
        </w:rPr>
        <w:t xml:space="preserve"> </w:t>
      </w:r>
      <w:r w:rsidRPr="00101033">
        <w:rPr>
          <w:b/>
          <w:bCs/>
          <w:color w:val="000000"/>
          <w:lang w:eastAsia="en-US"/>
        </w:rPr>
        <w:t>1,344.4</w:t>
      </w:r>
      <w:r w:rsidRPr="00101033">
        <w:rPr>
          <w:rFonts w:cs="Simplified Arabic" w:hint="cs"/>
          <w:b/>
          <w:bCs/>
          <w:color w:val="000000"/>
          <w:rtl/>
        </w:rPr>
        <w:t xml:space="preserve"> الف طن خلال عام</w:t>
      </w:r>
      <w:r w:rsidRPr="00467545">
        <w:rPr>
          <w:rFonts w:cs="Simplified Arabic" w:hint="cs"/>
          <w:color w:val="000000"/>
          <w:rtl/>
        </w:rPr>
        <w:t xml:space="preserve"> </w:t>
      </w:r>
      <w:r w:rsidRPr="00C03FD1">
        <w:rPr>
          <w:rFonts w:cs="Simplified Arabic" w:hint="cs"/>
          <w:b/>
          <w:bCs/>
          <w:color w:val="000000"/>
          <w:rtl/>
        </w:rPr>
        <w:t>2010</w:t>
      </w:r>
      <w:r w:rsidRPr="00467545">
        <w:rPr>
          <w:rFonts w:cs="Simplified Arabic" w:hint="cs"/>
          <w:b/>
          <w:bCs/>
          <w:color w:val="000000"/>
          <w:rtl/>
        </w:rPr>
        <w:t xml:space="preserve">. </w:t>
      </w:r>
      <w:r w:rsidRPr="00165FD2">
        <w:rPr>
          <w:rFonts w:cs="Simplified Arabic" w:hint="cs"/>
          <w:color w:val="000000"/>
          <w:rtl/>
        </w:rPr>
        <w:t>ومن الجدير بالذكر أن قطاع غزة شهد تراجعاً ملحوظاً في كميات الاسمنت المستوردة منذ عام 2006 حتى عام 2010 ، وتظه</w:t>
      </w:r>
      <w:r w:rsidRPr="00165FD2">
        <w:rPr>
          <w:rFonts w:cs="Simplified Arabic" w:hint="eastAsia"/>
          <w:color w:val="000000"/>
          <w:rtl/>
        </w:rPr>
        <w:t>ر</w:t>
      </w:r>
      <w:r w:rsidRPr="00165FD2">
        <w:rPr>
          <w:rFonts w:cs="Simplified Arabic" w:hint="cs"/>
          <w:color w:val="000000"/>
          <w:rtl/>
        </w:rPr>
        <w:t xml:space="preserve"> البيانات انه لم يدخل القطاع أي كميات اسمنت من الخارج خلال عام 2009</w:t>
      </w:r>
      <w:r>
        <w:rPr>
          <w:rFonts w:cs="Simplified Arabic" w:hint="cs"/>
          <w:color w:val="000000"/>
          <w:rtl/>
        </w:rPr>
        <w:t xml:space="preserve"> (شكل 22).</w:t>
      </w:r>
    </w:p>
    <w:p w:rsidR="00C743BA" w:rsidRPr="00165FD2" w:rsidRDefault="00C743BA" w:rsidP="009C583A">
      <w:pPr>
        <w:ind w:left="346" w:hanging="496"/>
        <w:jc w:val="center"/>
        <w:rPr>
          <w:rFonts w:cs="Simplified Arabic"/>
          <w:b/>
          <w:bCs/>
          <w:color w:val="000000"/>
          <w:rtl/>
        </w:rPr>
      </w:pPr>
      <w:r w:rsidRPr="00165FD2">
        <w:rPr>
          <w:rFonts w:cs="Simplified Arabic" w:hint="cs"/>
          <w:b/>
          <w:bCs/>
          <w:color w:val="000000"/>
          <w:rtl/>
        </w:rPr>
        <w:t>شكل</w:t>
      </w:r>
      <w:r w:rsidR="009C583A">
        <w:rPr>
          <w:rFonts w:cs="Simplified Arabic" w:hint="cs"/>
          <w:b/>
          <w:bCs/>
          <w:color w:val="000000"/>
          <w:rtl/>
        </w:rPr>
        <w:t xml:space="preserve"> 22</w:t>
      </w:r>
      <w:r w:rsidRPr="00165FD2">
        <w:rPr>
          <w:rFonts w:cs="Simplified Arabic" w:hint="cs"/>
          <w:b/>
          <w:bCs/>
          <w:color w:val="000000"/>
          <w:rtl/>
        </w:rPr>
        <w:t xml:space="preserve">: كميات الإسمنت المستوردة إلى </w:t>
      </w:r>
      <w:r w:rsidR="00385ED9">
        <w:rPr>
          <w:rFonts w:cs="Simplified Arabic" w:hint="cs"/>
          <w:b/>
          <w:bCs/>
          <w:sz w:val="22"/>
          <w:szCs w:val="22"/>
          <w:rtl/>
        </w:rPr>
        <w:t xml:space="preserve">الاراضي </w:t>
      </w:r>
      <w:proofErr w:type="spellStart"/>
      <w:r w:rsidR="00385ED9">
        <w:rPr>
          <w:rFonts w:cs="Simplified Arabic" w:hint="cs"/>
          <w:b/>
          <w:bCs/>
          <w:sz w:val="22"/>
          <w:szCs w:val="22"/>
          <w:rtl/>
        </w:rPr>
        <w:t>الفلسطينية</w:t>
      </w:r>
      <w:r w:rsidRPr="00165FD2">
        <w:rPr>
          <w:rFonts w:cs="Simplified Arabic" w:hint="cs"/>
          <w:b/>
          <w:bCs/>
          <w:color w:val="000000"/>
          <w:rtl/>
        </w:rPr>
        <w:t>،</w:t>
      </w:r>
      <w:proofErr w:type="spellEnd"/>
      <w:r w:rsidR="00385ED9">
        <w:rPr>
          <w:rFonts w:cs="Simplified Arabic" w:hint="cs"/>
          <w:b/>
          <w:bCs/>
          <w:color w:val="000000"/>
          <w:rtl/>
        </w:rPr>
        <w:t xml:space="preserve"> </w:t>
      </w:r>
      <w:r w:rsidRPr="00165FD2">
        <w:rPr>
          <w:rFonts w:cs="Simplified Arabic" w:hint="cs"/>
          <w:b/>
          <w:bCs/>
          <w:color w:val="000000"/>
          <w:rtl/>
        </w:rPr>
        <w:t>(2004-2011</w:t>
      </w:r>
      <w:proofErr w:type="spellStart"/>
      <w:r w:rsidRPr="00165FD2">
        <w:rPr>
          <w:rFonts w:cs="Simplified Arabic" w:hint="cs"/>
          <w:b/>
          <w:bCs/>
          <w:color w:val="000000"/>
          <w:rtl/>
        </w:rPr>
        <w:t>)</w:t>
      </w:r>
      <w:proofErr w:type="spellEnd"/>
    </w:p>
    <w:p w:rsidR="00C743BA" w:rsidRPr="00165FD2" w:rsidRDefault="00C743BA" w:rsidP="00C743BA">
      <w:pPr>
        <w:spacing w:after="120"/>
        <w:ind w:left="386" w:right="788"/>
        <w:jc w:val="center"/>
        <w:rPr>
          <w:rFonts w:cs="Simplified Arabic"/>
          <w:color w:val="000000"/>
          <w:rtl/>
        </w:rPr>
      </w:pPr>
      <w:r>
        <w:rPr>
          <w:noProof/>
          <w:color w:val="000000"/>
          <w:lang w:eastAsia="en-US"/>
        </w:rPr>
        <w:drawing>
          <wp:inline distT="0" distB="0" distL="0" distR="0">
            <wp:extent cx="4876800" cy="2562225"/>
            <wp:effectExtent l="0" t="0" r="0" b="0"/>
            <wp:docPr id="10"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743BA" w:rsidRPr="00165FD2" w:rsidRDefault="00C743BA" w:rsidP="00C743BA">
      <w:pPr>
        <w:rPr>
          <w:color w:val="000000"/>
          <w:rtl/>
        </w:rPr>
      </w:pPr>
    </w:p>
    <w:p w:rsidR="00C743BA" w:rsidRDefault="00C743BA" w:rsidP="00F50694">
      <w:pPr>
        <w:spacing w:before="240"/>
        <w:jc w:val="lowKashida"/>
        <w:rPr>
          <w:rFonts w:cs="Simplified Arabic"/>
          <w:color w:val="000000"/>
          <w:rtl/>
        </w:rPr>
      </w:pPr>
      <w:r>
        <w:rPr>
          <w:rFonts w:cs="Simplified Arabic" w:hint="cs"/>
          <w:b/>
          <w:bCs/>
          <w:color w:val="000000"/>
          <w:rtl/>
        </w:rPr>
        <w:t xml:space="preserve">أما </w:t>
      </w:r>
      <w:r w:rsidRPr="00A8759D">
        <w:rPr>
          <w:rFonts w:cs="Simplified Arabic" w:hint="cs"/>
          <w:b/>
          <w:bCs/>
          <w:color w:val="000000"/>
          <w:rtl/>
        </w:rPr>
        <w:t>قطاع السياحة</w:t>
      </w:r>
      <w:r>
        <w:rPr>
          <w:rFonts w:cs="Simplified Arabic" w:hint="cs"/>
          <w:b/>
          <w:bCs/>
          <w:color w:val="000000"/>
          <w:rtl/>
        </w:rPr>
        <w:t xml:space="preserve">، فقد شهد تراجعا خلال العام 2011 من حيث عدد نزلاء الفنادق وليالي المبيت. فقد </w:t>
      </w:r>
      <w:r w:rsidRPr="000B4053">
        <w:rPr>
          <w:rFonts w:cs="Simplified Arabic" w:hint="cs"/>
          <w:b/>
          <w:bCs/>
          <w:color w:val="000000"/>
          <w:rtl/>
        </w:rPr>
        <w:t>انخفض عدد نزلاء الفنادق في الأراضي الفلسطينية بنسبة 11.6% خلال عام 2011 ليصل إلى</w:t>
      </w:r>
      <w:r w:rsidRPr="000B4053">
        <w:rPr>
          <w:rFonts w:cs="Simplified Arabic"/>
          <w:b/>
          <w:bCs/>
          <w:color w:val="000000"/>
          <w:lang w:eastAsia="en-US"/>
        </w:rPr>
        <w:t xml:space="preserve"> </w:t>
      </w:r>
      <w:r w:rsidRPr="000B4053">
        <w:rPr>
          <w:rFonts w:cs="Simplified Arabic" w:hint="cs"/>
          <w:b/>
          <w:bCs/>
          <w:color w:val="000000"/>
          <w:rtl/>
          <w:lang w:eastAsia="en-US"/>
        </w:rPr>
        <w:t xml:space="preserve">510 </w:t>
      </w:r>
      <w:r w:rsidR="0074393A">
        <w:rPr>
          <w:rFonts w:cs="Simplified Arabic" w:hint="cs"/>
          <w:b/>
          <w:bCs/>
          <w:color w:val="000000"/>
          <w:rtl/>
          <w:lang w:eastAsia="en-US"/>
        </w:rPr>
        <w:t>الا</w:t>
      </w:r>
      <w:r w:rsidRPr="000B4053">
        <w:rPr>
          <w:rFonts w:cs="Simplified Arabic" w:hint="cs"/>
          <w:b/>
          <w:bCs/>
          <w:color w:val="000000"/>
          <w:rtl/>
          <w:lang w:eastAsia="en-US"/>
        </w:rPr>
        <w:t xml:space="preserve">لف نزيل </w:t>
      </w:r>
      <w:r w:rsidRPr="000B4053">
        <w:rPr>
          <w:rFonts w:cs="Simplified Arabic" w:hint="cs"/>
          <w:b/>
          <w:bCs/>
          <w:color w:val="000000"/>
          <w:rtl/>
        </w:rPr>
        <w:t xml:space="preserve">مقارنة مع </w:t>
      </w:r>
      <w:r w:rsidRPr="000B4053">
        <w:rPr>
          <w:rFonts w:hint="cs"/>
          <w:b/>
          <w:bCs/>
          <w:color w:val="000000"/>
          <w:rtl/>
          <w:lang w:eastAsia="en-US"/>
        </w:rPr>
        <w:t>577</w:t>
      </w:r>
      <w:r w:rsidRPr="000B4053">
        <w:rPr>
          <w:rFonts w:ascii="Arial" w:hAnsi="Arial" w:cs="Arial" w:hint="cs"/>
          <w:b/>
          <w:bCs/>
          <w:color w:val="000000"/>
          <w:sz w:val="22"/>
          <w:szCs w:val="22"/>
          <w:rtl/>
          <w:lang w:eastAsia="en-US"/>
        </w:rPr>
        <w:t xml:space="preserve"> ألف </w:t>
      </w:r>
      <w:r w:rsidRPr="000B4053">
        <w:rPr>
          <w:rFonts w:cs="Simplified Arabic" w:hint="cs"/>
          <w:b/>
          <w:bCs/>
          <w:color w:val="000000"/>
          <w:rtl/>
        </w:rPr>
        <w:t>نزيل خلال عام</w:t>
      </w:r>
      <w:r w:rsidRPr="00165FD2">
        <w:rPr>
          <w:rFonts w:cs="Simplified Arabic" w:hint="cs"/>
          <w:color w:val="000000"/>
          <w:rtl/>
        </w:rPr>
        <w:t xml:space="preserve"> </w:t>
      </w:r>
      <w:r w:rsidRPr="000B4053">
        <w:rPr>
          <w:rFonts w:cs="Simplified Arabic" w:hint="cs"/>
          <w:b/>
          <w:bCs/>
          <w:color w:val="000000"/>
          <w:rtl/>
        </w:rPr>
        <w:t>2010</w:t>
      </w:r>
      <w:r w:rsidRPr="00EF2563">
        <w:rPr>
          <w:rFonts w:cs="Simplified Arabic" w:hint="cs"/>
          <w:b/>
          <w:bCs/>
          <w:color w:val="000000"/>
          <w:rtl/>
        </w:rPr>
        <w:t>. ورافق ذلك انخفاض في عدد ليالي المبيت خلال عام 2011 بنسبة 2.5%.</w:t>
      </w:r>
      <w:r>
        <w:rPr>
          <w:rFonts w:ascii="Arial" w:hAnsi="Arial" w:cs="Arial" w:hint="cs"/>
          <w:color w:val="000000"/>
          <w:sz w:val="22"/>
          <w:szCs w:val="22"/>
          <w:rtl/>
          <w:lang w:eastAsia="en-US"/>
        </w:rPr>
        <w:t xml:space="preserve"> </w:t>
      </w:r>
      <w:r w:rsidRPr="0076738C">
        <w:rPr>
          <w:rFonts w:ascii="Arial" w:hAnsi="Arial" w:cs="Arial" w:hint="cs"/>
          <w:color w:val="000000"/>
          <w:sz w:val="22"/>
          <w:szCs w:val="22"/>
          <w:rtl/>
          <w:lang w:eastAsia="en-US"/>
        </w:rPr>
        <w:t>و</w:t>
      </w:r>
      <w:r w:rsidRPr="0076738C">
        <w:rPr>
          <w:rFonts w:cs="Simplified Arabic" w:hint="cs"/>
          <w:color w:val="000000"/>
          <w:rtl/>
        </w:rPr>
        <w:t>يعتبر قطاع السياحة من القطاعات الأكثر حساسية وتأثرا بالواقع السياسي في المنطقة</w:t>
      </w:r>
      <w:r>
        <w:rPr>
          <w:rFonts w:cs="Simplified Arabic" w:hint="cs"/>
          <w:color w:val="000000"/>
          <w:rtl/>
        </w:rPr>
        <w:t>؛</w:t>
      </w:r>
      <w:r w:rsidRPr="0076738C">
        <w:rPr>
          <w:rFonts w:cs="Simplified Arabic" w:hint="cs"/>
          <w:color w:val="000000"/>
          <w:rtl/>
        </w:rPr>
        <w:t xml:space="preserve"> فبالرغم مما تتميز </w:t>
      </w:r>
      <w:proofErr w:type="spellStart"/>
      <w:r w:rsidRPr="0076738C">
        <w:rPr>
          <w:rFonts w:cs="Simplified Arabic" w:hint="cs"/>
          <w:color w:val="000000"/>
          <w:rtl/>
        </w:rPr>
        <w:t>به</w:t>
      </w:r>
      <w:proofErr w:type="spellEnd"/>
      <w:r w:rsidRPr="0076738C">
        <w:rPr>
          <w:rFonts w:cs="Simplified Arabic" w:hint="cs"/>
          <w:color w:val="000000"/>
          <w:rtl/>
        </w:rPr>
        <w:t xml:space="preserve"> الأراضي الفلسطينية من مكانة دينية وتاريخية وثقافية وتراثية، إلا أن ما تعانيه من احتلال وحصار وعدم استقرار </w:t>
      </w:r>
      <w:r>
        <w:rPr>
          <w:rFonts w:cs="Simplified Arabic" w:hint="cs"/>
          <w:color w:val="000000"/>
          <w:rtl/>
        </w:rPr>
        <w:t>أدى</w:t>
      </w:r>
      <w:r w:rsidRPr="0076738C">
        <w:rPr>
          <w:rFonts w:cs="Simplified Arabic" w:hint="cs"/>
          <w:color w:val="000000"/>
          <w:rtl/>
        </w:rPr>
        <w:t xml:space="preserve"> إلى تقليص حجم مساهمة هذا القطاع في الاقتصاد الفلسطيني</w:t>
      </w:r>
      <w:r w:rsidRPr="00A8759D">
        <w:rPr>
          <w:rFonts w:cs="Simplified Arabic" w:hint="cs"/>
          <w:b/>
          <w:bCs/>
          <w:color w:val="000000"/>
          <w:rtl/>
        </w:rPr>
        <w:t>.</w:t>
      </w:r>
      <w:r>
        <w:rPr>
          <w:rFonts w:cs="Simplified Arabic" w:hint="cs"/>
          <w:b/>
          <w:bCs/>
          <w:color w:val="000000"/>
          <w:rtl/>
        </w:rPr>
        <w:t xml:space="preserve"> </w:t>
      </w:r>
      <w:r>
        <w:rPr>
          <w:rFonts w:cs="Simplified Arabic" w:hint="cs"/>
          <w:color w:val="000000"/>
          <w:rtl/>
        </w:rPr>
        <w:t>فقد</w:t>
      </w:r>
      <w:r w:rsidRPr="00165FD2">
        <w:rPr>
          <w:rFonts w:cs="Simplified Arabic" w:hint="cs"/>
          <w:color w:val="000000"/>
          <w:rtl/>
        </w:rPr>
        <w:t xml:space="preserve"> بلغ عدد العاملين في فنادق الأراضي الفلسطينية </w:t>
      </w:r>
      <w:r w:rsidRPr="00165FD2">
        <w:rPr>
          <w:rFonts w:hint="cs"/>
          <w:color w:val="000000"/>
          <w:rtl/>
          <w:lang w:eastAsia="en-US"/>
        </w:rPr>
        <w:t>2,251</w:t>
      </w:r>
      <w:r w:rsidRPr="00165FD2">
        <w:rPr>
          <w:rFonts w:ascii="Arial" w:hAnsi="Arial" w:cs="Arial" w:hint="cs"/>
          <w:color w:val="000000"/>
          <w:sz w:val="18"/>
          <w:szCs w:val="18"/>
          <w:rtl/>
          <w:lang w:eastAsia="en-US"/>
        </w:rPr>
        <w:t xml:space="preserve"> </w:t>
      </w:r>
      <w:r w:rsidRPr="00165FD2">
        <w:rPr>
          <w:rFonts w:cs="Simplified Arabic" w:hint="cs"/>
          <w:color w:val="000000"/>
          <w:rtl/>
        </w:rPr>
        <w:t xml:space="preserve">عامل خلال عام 2011 </w:t>
      </w:r>
      <w:r>
        <w:rPr>
          <w:rFonts w:cs="Simplified Arabic" w:hint="cs"/>
          <w:color w:val="000000"/>
          <w:rtl/>
        </w:rPr>
        <w:t xml:space="preserve">مقارنة مع </w:t>
      </w:r>
      <w:r w:rsidRPr="00165FD2">
        <w:rPr>
          <w:rFonts w:hint="cs"/>
          <w:color w:val="000000"/>
          <w:rtl/>
          <w:lang w:eastAsia="en-US"/>
        </w:rPr>
        <w:t>1,795</w:t>
      </w:r>
      <w:r w:rsidRPr="00165FD2">
        <w:rPr>
          <w:rFonts w:cs="Simplified Arabic" w:hint="cs"/>
          <w:color w:val="000000"/>
          <w:rtl/>
        </w:rPr>
        <w:t xml:space="preserve"> عامل خلال عام 2010</w:t>
      </w:r>
      <w:r>
        <w:rPr>
          <w:rFonts w:cs="Simplified Arabic" w:hint="cs"/>
          <w:color w:val="000000"/>
          <w:rtl/>
        </w:rPr>
        <w:t>، وهي نسبة ضئيلة من أجمالي العاملين في الأراضي الفلسطينية، والبالغ عددهم 837 ألف عامل</w:t>
      </w:r>
      <w:r w:rsidRPr="00165FD2">
        <w:rPr>
          <w:rFonts w:cs="Simplified Arabic" w:hint="cs"/>
          <w:color w:val="000000"/>
          <w:rtl/>
        </w:rPr>
        <w:t>.</w:t>
      </w:r>
      <w:r w:rsidRPr="00A8759D">
        <w:rPr>
          <w:rFonts w:cs="Simplified Arabic" w:hint="cs"/>
          <w:color w:val="000000"/>
          <w:rtl/>
        </w:rPr>
        <w:t xml:space="preserve"> </w:t>
      </w:r>
      <w:r>
        <w:rPr>
          <w:rFonts w:cs="Simplified Arabic" w:hint="cs"/>
          <w:color w:val="000000"/>
          <w:rtl/>
        </w:rPr>
        <w:t xml:space="preserve">ومن حيث التوزيع الجغرافي، فقد ارتفع </w:t>
      </w:r>
      <w:r w:rsidRPr="00165FD2">
        <w:rPr>
          <w:rFonts w:cs="Simplified Arabic" w:hint="cs"/>
          <w:color w:val="000000"/>
          <w:rtl/>
        </w:rPr>
        <w:t xml:space="preserve">عدد العاملين </w:t>
      </w:r>
      <w:r>
        <w:rPr>
          <w:rFonts w:cs="Simplified Arabic" w:hint="cs"/>
          <w:color w:val="000000"/>
          <w:rtl/>
        </w:rPr>
        <w:t xml:space="preserve">في فنادق الضفة الغربية عام 2011 بنسبة </w:t>
      </w:r>
      <w:r w:rsidRPr="00165FD2">
        <w:rPr>
          <w:rFonts w:cs="Simplified Arabic" w:hint="cs"/>
          <w:color w:val="000000"/>
          <w:rtl/>
        </w:rPr>
        <w:t xml:space="preserve"> 23.6%</w:t>
      </w:r>
      <w:r>
        <w:rPr>
          <w:rFonts w:cs="Simplified Arabic" w:hint="cs"/>
          <w:color w:val="000000"/>
          <w:rtl/>
        </w:rPr>
        <w:t xml:space="preserve"> مقارنة مع</w:t>
      </w:r>
      <w:r w:rsidRPr="00165FD2">
        <w:rPr>
          <w:rFonts w:cs="Simplified Arabic" w:hint="cs"/>
          <w:color w:val="000000"/>
          <w:rtl/>
        </w:rPr>
        <w:t xml:space="preserve"> عام 2010</w:t>
      </w:r>
      <w:r>
        <w:rPr>
          <w:rFonts w:cs="Simplified Arabic" w:hint="cs"/>
          <w:color w:val="000000"/>
          <w:rtl/>
        </w:rPr>
        <w:t xml:space="preserve"> ليصل عددهم</w:t>
      </w:r>
      <w:r w:rsidRPr="00165FD2">
        <w:rPr>
          <w:rFonts w:cs="Simplified Arabic" w:hint="cs"/>
          <w:color w:val="000000"/>
          <w:rtl/>
        </w:rPr>
        <w:t xml:space="preserve"> </w:t>
      </w:r>
      <w:r w:rsidRPr="00165FD2">
        <w:rPr>
          <w:rFonts w:hint="cs"/>
          <w:color w:val="000000"/>
          <w:rtl/>
          <w:lang w:eastAsia="en-US"/>
        </w:rPr>
        <w:t>2,091</w:t>
      </w:r>
      <w:r w:rsidRPr="00165FD2">
        <w:rPr>
          <w:rFonts w:cs="Simplified Arabic" w:hint="cs"/>
          <w:color w:val="000000"/>
          <w:rtl/>
        </w:rPr>
        <w:t xml:space="preserve"> عامل</w:t>
      </w:r>
      <w:r>
        <w:rPr>
          <w:rFonts w:cs="Simplified Arabic" w:hint="cs"/>
          <w:color w:val="000000"/>
          <w:rtl/>
        </w:rPr>
        <w:t>،</w:t>
      </w:r>
      <w:r w:rsidRPr="00165FD2">
        <w:rPr>
          <w:rFonts w:cs="Simplified Arabic" w:hint="cs"/>
          <w:color w:val="000000"/>
          <w:rtl/>
        </w:rPr>
        <w:t xml:space="preserve"> </w:t>
      </w:r>
      <w:r>
        <w:rPr>
          <w:rFonts w:cs="Simplified Arabic" w:hint="cs"/>
          <w:color w:val="000000"/>
          <w:rtl/>
        </w:rPr>
        <w:t>بينما</w:t>
      </w:r>
      <w:r w:rsidRPr="00165FD2">
        <w:rPr>
          <w:rFonts w:cs="Simplified Arabic" w:hint="cs"/>
          <w:color w:val="000000"/>
          <w:rtl/>
        </w:rPr>
        <w:t xml:space="preserve"> انخفض عدد النزلاء بنسبة 12.0%</w:t>
      </w:r>
      <w:r>
        <w:rPr>
          <w:rFonts w:cs="Simplified Arabic" w:hint="cs"/>
          <w:color w:val="000000"/>
          <w:rtl/>
        </w:rPr>
        <w:t xml:space="preserve"> (جدول 11). أما في </w:t>
      </w:r>
      <w:r w:rsidRPr="00165FD2">
        <w:rPr>
          <w:rFonts w:cs="Simplified Arabic" w:hint="cs"/>
          <w:color w:val="000000"/>
          <w:rtl/>
        </w:rPr>
        <w:t xml:space="preserve">قطاع غزة </w:t>
      </w:r>
      <w:r>
        <w:rPr>
          <w:rFonts w:cs="Simplified Arabic" w:hint="cs"/>
          <w:color w:val="000000"/>
          <w:rtl/>
        </w:rPr>
        <w:t xml:space="preserve">فقد </w:t>
      </w:r>
      <w:r w:rsidRPr="00165FD2">
        <w:rPr>
          <w:rFonts w:cs="Simplified Arabic" w:hint="cs"/>
          <w:color w:val="000000"/>
          <w:rtl/>
        </w:rPr>
        <w:t xml:space="preserve">بلغ عدد العاملين في فنادق القطاع 160 </w:t>
      </w:r>
      <w:r>
        <w:rPr>
          <w:rFonts w:cs="Simplified Arabic" w:hint="cs"/>
          <w:color w:val="000000"/>
          <w:rtl/>
        </w:rPr>
        <w:t xml:space="preserve">عامل </w:t>
      </w:r>
      <w:r w:rsidRPr="00165FD2">
        <w:rPr>
          <w:rFonts w:cs="Simplified Arabic" w:hint="cs"/>
          <w:color w:val="000000"/>
          <w:rtl/>
        </w:rPr>
        <w:t>خلال عام 2011</w:t>
      </w:r>
      <w:r>
        <w:rPr>
          <w:rFonts w:cs="Simplified Arabic" w:hint="cs"/>
          <w:color w:val="000000"/>
          <w:rtl/>
        </w:rPr>
        <w:t>، مقارنة مع 103 عمال عام 2010، أي بزيادة 55%</w:t>
      </w:r>
      <w:r w:rsidRPr="00165FD2">
        <w:rPr>
          <w:rFonts w:cs="Simplified Arabic" w:hint="cs"/>
          <w:color w:val="000000"/>
          <w:rtl/>
        </w:rPr>
        <w:t xml:space="preserve">، </w:t>
      </w:r>
      <w:r>
        <w:rPr>
          <w:rFonts w:cs="Simplified Arabic" w:hint="cs"/>
          <w:color w:val="000000"/>
          <w:rtl/>
        </w:rPr>
        <w:t xml:space="preserve">ولكن </w:t>
      </w:r>
      <w:r w:rsidRPr="00165FD2">
        <w:rPr>
          <w:rFonts w:cs="Simplified Arabic" w:hint="cs"/>
          <w:color w:val="000000"/>
          <w:rtl/>
        </w:rPr>
        <w:t xml:space="preserve">عدد النزلاء ارتفع بنسبة </w:t>
      </w:r>
      <w:proofErr w:type="spellStart"/>
      <w:r w:rsidRPr="00165FD2">
        <w:rPr>
          <w:rFonts w:cs="Simplified Arabic" w:hint="cs"/>
          <w:color w:val="000000"/>
          <w:rtl/>
        </w:rPr>
        <w:t>200%</w:t>
      </w:r>
      <w:proofErr w:type="spellEnd"/>
      <w:r w:rsidRPr="00165FD2">
        <w:rPr>
          <w:rFonts w:cs="Simplified Arabic" w:hint="cs"/>
          <w:color w:val="000000"/>
          <w:rtl/>
        </w:rPr>
        <w:t xml:space="preserve"> خلال </w:t>
      </w:r>
      <w:r>
        <w:rPr>
          <w:rFonts w:cs="Simplified Arabic" w:hint="cs"/>
          <w:color w:val="000000"/>
          <w:rtl/>
        </w:rPr>
        <w:t xml:space="preserve">العام </w:t>
      </w:r>
      <w:proofErr w:type="spellStart"/>
      <w:r>
        <w:rPr>
          <w:rFonts w:cs="Simplified Arabic" w:hint="cs"/>
          <w:color w:val="000000"/>
          <w:rtl/>
        </w:rPr>
        <w:t>2011،</w:t>
      </w:r>
      <w:proofErr w:type="spellEnd"/>
      <w:r>
        <w:rPr>
          <w:rFonts w:cs="Simplified Arabic" w:hint="cs"/>
          <w:color w:val="000000"/>
          <w:rtl/>
        </w:rPr>
        <w:t xml:space="preserve"> ولكنه ظل متدنيا جدا</w:t>
      </w:r>
      <w:r w:rsidRPr="00165FD2">
        <w:rPr>
          <w:rFonts w:cs="Simplified Arabic" w:hint="cs"/>
          <w:color w:val="000000"/>
          <w:rtl/>
        </w:rPr>
        <w:t xml:space="preserve">. </w:t>
      </w:r>
    </w:p>
    <w:p w:rsidR="00C743BA" w:rsidRDefault="00C743BA" w:rsidP="00C743BA">
      <w:pPr>
        <w:jc w:val="lowKashida"/>
        <w:rPr>
          <w:rFonts w:cs="Simplified Arabic"/>
          <w:b/>
          <w:bCs/>
          <w:color w:val="000000"/>
          <w:rtl/>
        </w:rPr>
      </w:pPr>
    </w:p>
    <w:p w:rsidR="00C743BA" w:rsidRPr="00165FD2" w:rsidRDefault="00C743BA" w:rsidP="009C583A">
      <w:pPr>
        <w:jc w:val="center"/>
        <w:rPr>
          <w:rFonts w:cs="Simplified Arabic"/>
          <w:b/>
          <w:bCs/>
          <w:color w:val="000000"/>
          <w:sz w:val="22"/>
          <w:szCs w:val="22"/>
          <w:rtl/>
        </w:rPr>
      </w:pPr>
      <w:r w:rsidRPr="00165FD2">
        <w:rPr>
          <w:rFonts w:cs="Simplified Arabic" w:hint="cs"/>
          <w:b/>
          <w:bCs/>
          <w:color w:val="000000"/>
          <w:sz w:val="22"/>
          <w:szCs w:val="22"/>
          <w:rtl/>
        </w:rPr>
        <w:t>جدول</w:t>
      </w:r>
      <w:r w:rsidR="009C583A">
        <w:rPr>
          <w:rFonts w:cs="Simplified Arabic" w:hint="cs"/>
          <w:b/>
          <w:bCs/>
          <w:color w:val="000000"/>
          <w:sz w:val="22"/>
          <w:szCs w:val="22"/>
          <w:rtl/>
        </w:rPr>
        <w:t xml:space="preserve"> 11</w:t>
      </w:r>
      <w:r w:rsidRPr="00165FD2">
        <w:rPr>
          <w:rFonts w:cs="Simplified Arabic" w:hint="cs"/>
          <w:b/>
          <w:bCs/>
          <w:color w:val="000000"/>
          <w:sz w:val="22"/>
          <w:szCs w:val="22"/>
          <w:rtl/>
        </w:rPr>
        <w:t>: أبرز المؤش</w:t>
      </w:r>
      <w:r w:rsidR="00947AA0">
        <w:rPr>
          <w:rFonts w:cs="Simplified Arabic" w:hint="cs"/>
          <w:b/>
          <w:bCs/>
          <w:color w:val="000000"/>
          <w:sz w:val="22"/>
          <w:szCs w:val="22"/>
          <w:rtl/>
        </w:rPr>
        <w:t>رات في قطاع السياحة حسب المنطقة</w:t>
      </w:r>
      <w:r w:rsidRPr="00165FD2">
        <w:rPr>
          <w:rFonts w:cs="Simplified Arabic" w:hint="cs"/>
          <w:b/>
          <w:bCs/>
          <w:color w:val="000000"/>
          <w:sz w:val="22"/>
          <w:szCs w:val="22"/>
          <w:rtl/>
        </w:rPr>
        <w:t>، (2010</w:t>
      </w:r>
      <w:r w:rsidR="009C583A">
        <w:rPr>
          <w:rFonts w:cs="Simplified Arabic" w:hint="cs"/>
          <w:b/>
          <w:bCs/>
          <w:color w:val="000000"/>
          <w:sz w:val="22"/>
          <w:szCs w:val="22"/>
          <w:rtl/>
        </w:rPr>
        <w:t>،</w:t>
      </w:r>
      <w:r w:rsidRPr="00165FD2">
        <w:rPr>
          <w:rFonts w:cs="Simplified Arabic" w:hint="cs"/>
          <w:b/>
          <w:bCs/>
          <w:color w:val="000000"/>
          <w:sz w:val="22"/>
          <w:szCs w:val="22"/>
          <w:rtl/>
        </w:rPr>
        <w:t>2011)</w:t>
      </w:r>
    </w:p>
    <w:tbl>
      <w:tblPr>
        <w:bidiVisual/>
        <w:tblW w:w="0" w:type="auto"/>
        <w:tblBorders>
          <w:top w:val="single" w:sz="4" w:space="0" w:color="auto"/>
          <w:bottom w:val="single" w:sz="4" w:space="0" w:color="auto"/>
        </w:tblBorders>
        <w:tblLook w:val="0000"/>
      </w:tblPr>
      <w:tblGrid>
        <w:gridCol w:w="2767"/>
        <w:gridCol w:w="1113"/>
        <w:gridCol w:w="1104"/>
        <w:gridCol w:w="1146"/>
        <w:gridCol w:w="736"/>
        <w:gridCol w:w="941"/>
        <w:gridCol w:w="1105"/>
      </w:tblGrid>
      <w:tr w:rsidR="00C743BA" w:rsidRPr="00165FD2" w:rsidTr="00211679">
        <w:trPr>
          <w:cantSplit/>
          <w:trHeight w:val="387"/>
        </w:trPr>
        <w:tc>
          <w:tcPr>
            <w:tcW w:w="2767" w:type="dxa"/>
            <w:vMerge w:val="restart"/>
            <w:tcBorders>
              <w:top w:val="single" w:sz="12" w:space="0" w:color="auto"/>
              <w:bottom w:val="nil"/>
            </w:tcBorders>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المؤشر</w:t>
            </w:r>
          </w:p>
        </w:tc>
        <w:tc>
          <w:tcPr>
            <w:tcW w:w="3363" w:type="dxa"/>
            <w:gridSpan w:val="3"/>
            <w:tcBorders>
              <w:top w:val="single" w:sz="12" w:space="0" w:color="auto"/>
              <w:bottom w:val="single" w:sz="12" w:space="0" w:color="auto"/>
            </w:tcBorders>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الضفة الغربية</w:t>
            </w:r>
          </w:p>
        </w:tc>
        <w:tc>
          <w:tcPr>
            <w:tcW w:w="2782" w:type="dxa"/>
            <w:gridSpan w:val="3"/>
            <w:tcBorders>
              <w:top w:val="single" w:sz="12" w:space="0" w:color="auto"/>
              <w:bottom w:val="single" w:sz="12" w:space="0" w:color="auto"/>
            </w:tcBorders>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قطاع غزة</w:t>
            </w:r>
          </w:p>
        </w:tc>
      </w:tr>
      <w:tr w:rsidR="00C743BA" w:rsidRPr="00165FD2" w:rsidTr="00211679">
        <w:trPr>
          <w:cantSplit/>
          <w:trHeight w:val="231"/>
        </w:trPr>
        <w:tc>
          <w:tcPr>
            <w:tcW w:w="2767" w:type="dxa"/>
            <w:vMerge/>
            <w:tcBorders>
              <w:top w:val="nil"/>
              <w:bottom w:val="single" w:sz="12" w:space="0" w:color="auto"/>
            </w:tcBorders>
          </w:tcPr>
          <w:p w:rsidR="00C743BA" w:rsidRPr="00FB36FA" w:rsidRDefault="00C743BA" w:rsidP="00211679">
            <w:pPr>
              <w:jc w:val="lowKashida"/>
              <w:rPr>
                <w:rFonts w:ascii="Arial" w:hAnsi="Arial" w:cs="Arial"/>
                <w:b/>
                <w:bCs/>
                <w:color w:val="000000"/>
                <w:sz w:val="18"/>
                <w:szCs w:val="18"/>
              </w:rPr>
            </w:pPr>
          </w:p>
        </w:tc>
        <w:tc>
          <w:tcPr>
            <w:tcW w:w="1113" w:type="dxa"/>
            <w:tcBorders>
              <w:top w:val="single" w:sz="12" w:space="0" w:color="auto"/>
              <w:bottom w:val="single" w:sz="12" w:space="0" w:color="auto"/>
            </w:tcBorders>
            <w:vAlign w:val="center"/>
          </w:tcPr>
          <w:p w:rsidR="00C743BA" w:rsidRPr="00FB36FA" w:rsidRDefault="00C743BA" w:rsidP="00211679">
            <w:pPr>
              <w:rPr>
                <w:rFonts w:ascii="Arial" w:hAnsi="Arial" w:cs="Arial"/>
                <w:b/>
                <w:bCs/>
                <w:color w:val="000000"/>
                <w:sz w:val="18"/>
                <w:szCs w:val="18"/>
                <w:rtl/>
              </w:rPr>
            </w:pPr>
            <w:r w:rsidRPr="00FB36FA">
              <w:rPr>
                <w:rFonts w:ascii="Arial" w:hAnsi="Arial" w:cs="Arial"/>
                <w:b/>
                <w:bCs/>
                <w:color w:val="000000"/>
                <w:sz w:val="18"/>
                <w:szCs w:val="18"/>
                <w:rtl/>
              </w:rPr>
              <w:t>2010</w:t>
            </w:r>
          </w:p>
        </w:tc>
        <w:tc>
          <w:tcPr>
            <w:tcW w:w="1104" w:type="dxa"/>
            <w:tcBorders>
              <w:top w:val="single" w:sz="12" w:space="0" w:color="auto"/>
              <w:bottom w:val="single" w:sz="12" w:space="0" w:color="auto"/>
            </w:tcBorders>
            <w:vAlign w:val="center"/>
          </w:tcPr>
          <w:p w:rsidR="00C743BA" w:rsidRPr="00FB36FA" w:rsidRDefault="00C743BA" w:rsidP="00211679">
            <w:pPr>
              <w:rPr>
                <w:rFonts w:ascii="Arial" w:hAnsi="Arial" w:cs="Arial"/>
                <w:b/>
                <w:bCs/>
                <w:color w:val="000000"/>
                <w:sz w:val="18"/>
                <w:szCs w:val="18"/>
                <w:rtl/>
              </w:rPr>
            </w:pPr>
            <w:r w:rsidRPr="00FB36FA">
              <w:rPr>
                <w:rFonts w:ascii="Arial" w:hAnsi="Arial" w:cs="Arial"/>
                <w:b/>
                <w:bCs/>
                <w:color w:val="000000"/>
                <w:sz w:val="18"/>
                <w:szCs w:val="18"/>
                <w:rtl/>
              </w:rPr>
              <w:t>2011</w:t>
            </w:r>
          </w:p>
        </w:tc>
        <w:tc>
          <w:tcPr>
            <w:tcW w:w="1146" w:type="dxa"/>
            <w:tcBorders>
              <w:top w:val="single" w:sz="12" w:space="0" w:color="auto"/>
              <w:bottom w:val="single" w:sz="12" w:space="0" w:color="auto"/>
            </w:tcBorders>
            <w:vAlign w:val="center"/>
          </w:tcPr>
          <w:p w:rsidR="00C743BA" w:rsidRPr="00FB36FA" w:rsidRDefault="00C743BA" w:rsidP="00211679">
            <w:pPr>
              <w:rPr>
                <w:rFonts w:ascii="Arial" w:hAnsi="Arial" w:cs="Arial"/>
                <w:b/>
                <w:bCs/>
                <w:color w:val="000000"/>
                <w:sz w:val="18"/>
                <w:szCs w:val="18"/>
                <w:rtl/>
              </w:rPr>
            </w:pPr>
            <w:r w:rsidRPr="00FB36FA">
              <w:rPr>
                <w:rFonts w:ascii="Arial" w:hAnsi="Arial" w:cs="Arial"/>
                <w:b/>
                <w:bCs/>
                <w:color w:val="000000"/>
                <w:sz w:val="18"/>
                <w:szCs w:val="18"/>
                <w:rtl/>
              </w:rPr>
              <w:t>نسبة التغير</w:t>
            </w:r>
          </w:p>
        </w:tc>
        <w:tc>
          <w:tcPr>
            <w:tcW w:w="736" w:type="dxa"/>
            <w:tcBorders>
              <w:top w:val="single" w:sz="12" w:space="0" w:color="auto"/>
              <w:bottom w:val="single" w:sz="12" w:space="0" w:color="auto"/>
            </w:tcBorders>
            <w:vAlign w:val="center"/>
          </w:tcPr>
          <w:p w:rsidR="00C743BA" w:rsidRPr="00FB36FA" w:rsidRDefault="00C743BA" w:rsidP="00211679">
            <w:pPr>
              <w:rPr>
                <w:rFonts w:ascii="Arial" w:hAnsi="Arial" w:cs="Arial"/>
                <w:b/>
                <w:bCs/>
                <w:color w:val="000000"/>
                <w:sz w:val="18"/>
                <w:szCs w:val="18"/>
                <w:rtl/>
              </w:rPr>
            </w:pPr>
            <w:r w:rsidRPr="00FB36FA">
              <w:rPr>
                <w:rFonts w:ascii="Arial" w:hAnsi="Arial" w:cs="Arial"/>
                <w:b/>
                <w:bCs/>
                <w:color w:val="000000"/>
                <w:sz w:val="18"/>
                <w:szCs w:val="18"/>
                <w:rtl/>
              </w:rPr>
              <w:t>2010</w:t>
            </w:r>
          </w:p>
        </w:tc>
        <w:tc>
          <w:tcPr>
            <w:tcW w:w="941" w:type="dxa"/>
            <w:tcBorders>
              <w:top w:val="single" w:sz="12" w:space="0" w:color="auto"/>
              <w:bottom w:val="single" w:sz="12" w:space="0" w:color="auto"/>
            </w:tcBorders>
            <w:vAlign w:val="center"/>
          </w:tcPr>
          <w:p w:rsidR="00C743BA" w:rsidRPr="00FB36FA" w:rsidRDefault="00C743BA" w:rsidP="00211679">
            <w:pPr>
              <w:rPr>
                <w:rFonts w:ascii="Arial" w:hAnsi="Arial" w:cs="Arial"/>
                <w:b/>
                <w:bCs/>
                <w:color w:val="000000"/>
                <w:sz w:val="18"/>
                <w:szCs w:val="18"/>
                <w:rtl/>
              </w:rPr>
            </w:pPr>
            <w:r w:rsidRPr="00FB36FA">
              <w:rPr>
                <w:rFonts w:ascii="Arial" w:hAnsi="Arial" w:cs="Arial"/>
                <w:b/>
                <w:bCs/>
                <w:color w:val="000000"/>
                <w:sz w:val="18"/>
                <w:szCs w:val="18"/>
                <w:rtl/>
              </w:rPr>
              <w:t>2011</w:t>
            </w:r>
          </w:p>
        </w:tc>
        <w:tc>
          <w:tcPr>
            <w:tcW w:w="1104" w:type="dxa"/>
            <w:tcBorders>
              <w:top w:val="single" w:sz="12" w:space="0" w:color="auto"/>
              <w:bottom w:val="single" w:sz="12" w:space="0" w:color="auto"/>
            </w:tcBorders>
            <w:vAlign w:val="center"/>
          </w:tcPr>
          <w:p w:rsidR="00C743BA" w:rsidRPr="00FB36FA" w:rsidRDefault="00C743BA" w:rsidP="00211679">
            <w:pPr>
              <w:rPr>
                <w:rFonts w:ascii="Arial" w:hAnsi="Arial" w:cs="Arial"/>
                <w:b/>
                <w:bCs/>
                <w:color w:val="000000"/>
                <w:sz w:val="18"/>
                <w:szCs w:val="18"/>
                <w:rtl/>
              </w:rPr>
            </w:pPr>
            <w:r w:rsidRPr="00FB36FA">
              <w:rPr>
                <w:rFonts w:ascii="Arial" w:hAnsi="Arial" w:cs="Arial"/>
                <w:b/>
                <w:bCs/>
                <w:color w:val="000000"/>
                <w:sz w:val="18"/>
                <w:szCs w:val="18"/>
                <w:rtl/>
              </w:rPr>
              <w:t>نسبة التغير</w:t>
            </w:r>
          </w:p>
        </w:tc>
      </w:tr>
      <w:tr w:rsidR="00C743BA" w:rsidRPr="00165FD2" w:rsidTr="00211679">
        <w:trPr>
          <w:trHeight w:val="249"/>
        </w:trPr>
        <w:tc>
          <w:tcPr>
            <w:tcW w:w="2767" w:type="dxa"/>
            <w:tcBorders>
              <w:top w:val="single" w:sz="12" w:space="0" w:color="auto"/>
            </w:tcBorders>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عدد الفنادق</w:t>
            </w:r>
          </w:p>
        </w:tc>
        <w:tc>
          <w:tcPr>
            <w:tcW w:w="1113" w:type="dxa"/>
            <w:tcBorders>
              <w:top w:val="single" w:sz="12" w:space="0" w:color="auto"/>
            </w:tcBorders>
            <w:vAlign w:val="center"/>
          </w:tcPr>
          <w:p w:rsidR="00C743BA" w:rsidRPr="00FB36FA" w:rsidRDefault="00C743BA" w:rsidP="00211679">
            <w:pPr>
              <w:rPr>
                <w:rFonts w:ascii="Arial" w:hAnsi="Arial" w:cs="Arial"/>
                <w:color w:val="000000"/>
                <w:sz w:val="18"/>
                <w:szCs w:val="18"/>
                <w:rtl/>
              </w:rPr>
            </w:pPr>
            <w:r w:rsidRPr="00FB36FA">
              <w:rPr>
                <w:rFonts w:ascii="Arial" w:hAnsi="Arial" w:cs="Arial"/>
                <w:color w:val="000000"/>
                <w:sz w:val="18"/>
                <w:szCs w:val="18"/>
                <w:rtl/>
              </w:rPr>
              <w:t>87</w:t>
            </w:r>
          </w:p>
        </w:tc>
        <w:tc>
          <w:tcPr>
            <w:tcW w:w="1104" w:type="dxa"/>
            <w:tcBorders>
              <w:top w:val="single" w:sz="12" w:space="0" w:color="auto"/>
            </w:tcBorders>
            <w:vAlign w:val="center"/>
          </w:tcPr>
          <w:p w:rsidR="00C743BA" w:rsidRPr="00FB36FA" w:rsidRDefault="00C743BA" w:rsidP="00211679">
            <w:pPr>
              <w:rPr>
                <w:rFonts w:ascii="Arial" w:hAnsi="Arial" w:cs="Arial"/>
                <w:color w:val="000000"/>
                <w:sz w:val="18"/>
                <w:szCs w:val="18"/>
                <w:rtl/>
              </w:rPr>
            </w:pPr>
            <w:r w:rsidRPr="00FB36FA">
              <w:rPr>
                <w:rFonts w:ascii="Arial" w:hAnsi="Arial" w:cs="Arial"/>
                <w:color w:val="000000"/>
                <w:sz w:val="18"/>
                <w:szCs w:val="18"/>
                <w:rtl/>
              </w:rPr>
              <w:t>91</w:t>
            </w:r>
          </w:p>
        </w:tc>
        <w:tc>
          <w:tcPr>
            <w:tcW w:w="1146" w:type="dxa"/>
            <w:tcBorders>
              <w:top w:val="single" w:sz="12" w:space="0" w:color="auto"/>
            </w:tcBorders>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Pr>
              <w:t xml:space="preserve">4.6  </w:t>
            </w:r>
          </w:p>
        </w:tc>
        <w:tc>
          <w:tcPr>
            <w:tcW w:w="736" w:type="dxa"/>
            <w:tcBorders>
              <w:top w:val="single" w:sz="12" w:space="0" w:color="auto"/>
            </w:tcBorders>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tl/>
              </w:rPr>
              <w:t>8</w:t>
            </w:r>
          </w:p>
        </w:tc>
        <w:tc>
          <w:tcPr>
            <w:tcW w:w="941" w:type="dxa"/>
            <w:tcBorders>
              <w:top w:val="single" w:sz="12" w:space="0" w:color="auto"/>
            </w:tcBorders>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tl/>
              </w:rPr>
              <w:t>12</w:t>
            </w:r>
          </w:p>
        </w:tc>
        <w:tc>
          <w:tcPr>
            <w:tcW w:w="1104" w:type="dxa"/>
            <w:tcBorders>
              <w:top w:val="single" w:sz="12" w:space="0" w:color="auto"/>
            </w:tcBorders>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Pr>
              <w:t>50.0</w:t>
            </w:r>
          </w:p>
        </w:tc>
      </w:tr>
      <w:tr w:rsidR="00C743BA" w:rsidRPr="00165FD2" w:rsidTr="00211679">
        <w:trPr>
          <w:trHeight w:val="249"/>
        </w:trPr>
        <w:tc>
          <w:tcPr>
            <w:tcW w:w="2767" w:type="dxa"/>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عدد النزلاء(بالألف)</w:t>
            </w:r>
          </w:p>
        </w:tc>
        <w:tc>
          <w:tcPr>
            <w:tcW w:w="1113" w:type="dxa"/>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Pr>
              <w:t>576</w:t>
            </w:r>
          </w:p>
        </w:tc>
        <w:tc>
          <w:tcPr>
            <w:tcW w:w="1104" w:type="dxa"/>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Pr>
              <w:t>507</w:t>
            </w:r>
          </w:p>
        </w:tc>
        <w:tc>
          <w:tcPr>
            <w:tcW w:w="1146" w:type="dxa"/>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-12.0</w:t>
            </w:r>
          </w:p>
        </w:tc>
        <w:tc>
          <w:tcPr>
            <w:tcW w:w="736" w:type="dxa"/>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1</w:t>
            </w:r>
          </w:p>
        </w:tc>
        <w:tc>
          <w:tcPr>
            <w:tcW w:w="941" w:type="dxa"/>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3</w:t>
            </w:r>
          </w:p>
        </w:tc>
        <w:tc>
          <w:tcPr>
            <w:tcW w:w="1104" w:type="dxa"/>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200.0</w:t>
            </w:r>
          </w:p>
        </w:tc>
      </w:tr>
      <w:tr w:rsidR="00C743BA" w:rsidRPr="00165FD2" w:rsidTr="00211679">
        <w:trPr>
          <w:trHeight w:val="249"/>
        </w:trPr>
        <w:tc>
          <w:tcPr>
            <w:tcW w:w="2767" w:type="dxa"/>
            <w:tcBorders>
              <w:bottom w:val="nil"/>
            </w:tcBorders>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عدد ليالي المبيت(بالألف)</w:t>
            </w:r>
          </w:p>
        </w:tc>
        <w:tc>
          <w:tcPr>
            <w:tcW w:w="1113" w:type="dxa"/>
            <w:tcBorders>
              <w:bottom w:val="nil"/>
            </w:tcBorders>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Pr>
              <w:t>1,284</w:t>
            </w:r>
          </w:p>
        </w:tc>
        <w:tc>
          <w:tcPr>
            <w:tcW w:w="1104" w:type="dxa"/>
            <w:tcBorders>
              <w:bottom w:val="nil"/>
            </w:tcBorders>
            <w:vAlign w:val="center"/>
          </w:tcPr>
          <w:p w:rsidR="00C743BA" w:rsidRPr="00FB36FA" w:rsidRDefault="00C743BA" w:rsidP="00211679">
            <w:pPr>
              <w:bidi w:val="0"/>
              <w:jc w:val="right"/>
              <w:rPr>
                <w:rFonts w:ascii="Arial" w:hAnsi="Arial" w:cs="Arial"/>
                <w:color w:val="000000"/>
                <w:sz w:val="18"/>
                <w:szCs w:val="18"/>
              </w:rPr>
            </w:pPr>
            <w:r w:rsidRPr="00FB36FA">
              <w:rPr>
                <w:rFonts w:ascii="Arial" w:hAnsi="Arial" w:cs="Arial"/>
                <w:color w:val="000000"/>
                <w:sz w:val="18"/>
                <w:szCs w:val="18"/>
              </w:rPr>
              <w:t>1,245</w:t>
            </w:r>
          </w:p>
        </w:tc>
        <w:tc>
          <w:tcPr>
            <w:tcW w:w="1146" w:type="dxa"/>
            <w:tcBorders>
              <w:bottom w:val="nil"/>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-3.0</w:t>
            </w:r>
          </w:p>
        </w:tc>
        <w:tc>
          <w:tcPr>
            <w:tcW w:w="736" w:type="dxa"/>
            <w:tcBorders>
              <w:bottom w:val="nil"/>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2</w:t>
            </w:r>
          </w:p>
        </w:tc>
        <w:tc>
          <w:tcPr>
            <w:tcW w:w="941" w:type="dxa"/>
            <w:tcBorders>
              <w:bottom w:val="nil"/>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9</w:t>
            </w:r>
          </w:p>
        </w:tc>
        <w:tc>
          <w:tcPr>
            <w:tcW w:w="1104" w:type="dxa"/>
            <w:tcBorders>
              <w:bottom w:val="nil"/>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350.0</w:t>
            </w:r>
          </w:p>
        </w:tc>
      </w:tr>
      <w:tr w:rsidR="00C743BA" w:rsidRPr="00165FD2" w:rsidTr="00211679">
        <w:trPr>
          <w:trHeight w:val="249"/>
        </w:trPr>
        <w:tc>
          <w:tcPr>
            <w:tcW w:w="2767" w:type="dxa"/>
            <w:tcBorders>
              <w:top w:val="nil"/>
              <w:bottom w:val="single" w:sz="12" w:space="0" w:color="auto"/>
            </w:tcBorders>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 xml:space="preserve">عدد العاملين </w:t>
            </w:r>
          </w:p>
        </w:tc>
        <w:tc>
          <w:tcPr>
            <w:tcW w:w="1113" w:type="dxa"/>
            <w:tcBorders>
              <w:top w:val="nil"/>
              <w:bottom w:val="single" w:sz="12" w:space="0" w:color="auto"/>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1,692</w:t>
            </w:r>
          </w:p>
        </w:tc>
        <w:tc>
          <w:tcPr>
            <w:tcW w:w="1104" w:type="dxa"/>
            <w:tcBorders>
              <w:top w:val="nil"/>
              <w:bottom w:val="single" w:sz="12" w:space="0" w:color="auto"/>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2,091</w:t>
            </w:r>
          </w:p>
        </w:tc>
        <w:tc>
          <w:tcPr>
            <w:tcW w:w="1146" w:type="dxa"/>
            <w:tcBorders>
              <w:top w:val="nil"/>
              <w:bottom w:val="single" w:sz="12" w:space="0" w:color="auto"/>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23.6</w:t>
            </w:r>
          </w:p>
        </w:tc>
        <w:tc>
          <w:tcPr>
            <w:tcW w:w="736" w:type="dxa"/>
            <w:tcBorders>
              <w:top w:val="nil"/>
              <w:bottom w:val="single" w:sz="12" w:space="0" w:color="auto"/>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103</w:t>
            </w:r>
          </w:p>
        </w:tc>
        <w:tc>
          <w:tcPr>
            <w:tcW w:w="941" w:type="dxa"/>
            <w:tcBorders>
              <w:top w:val="nil"/>
              <w:bottom w:val="single" w:sz="12" w:space="0" w:color="auto"/>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160</w:t>
            </w:r>
          </w:p>
        </w:tc>
        <w:tc>
          <w:tcPr>
            <w:tcW w:w="1104" w:type="dxa"/>
            <w:tcBorders>
              <w:top w:val="nil"/>
              <w:bottom w:val="single" w:sz="12" w:space="0" w:color="auto"/>
            </w:tcBorders>
            <w:vAlign w:val="center"/>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55.3</w:t>
            </w:r>
          </w:p>
        </w:tc>
      </w:tr>
    </w:tbl>
    <w:p w:rsidR="00C743BA" w:rsidRPr="00165FD2" w:rsidRDefault="00C743BA" w:rsidP="00C743BA">
      <w:pPr>
        <w:rPr>
          <w:rFonts w:cs="Simplified Arabic"/>
          <w:b/>
          <w:bCs/>
          <w:color w:val="000000"/>
          <w:rtl/>
        </w:rPr>
      </w:pPr>
    </w:p>
    <w:p w:rsidR="00C743BA" w:rsidRPr="00165FD2" w:rsidRDefault="00C743BA" w:rsidP="00C743BA">
      <w:pPr>
        <w:jc w:val="center"/>
        <w:rPr>
          <w:rFonts w:cs="Simplified Arabic"/>
          <w:b/>
          <w:bCs/>
          <w:color w:val="000000"/>
          <w:rtl/>
        </w:rPr>
      </w:pPr>
      <w:r w:rsidRPr="00165FD2">
        <w:rPr>
          <w:rFonts w:cs="Simplified Arabic" w:hint="cs"/>
          <w:b/>
          <w:bCs/>
          <w:color w:val="000000"/>
          <w:rtl/>
        </w:rPr>
        <w:t>الملحقات</w:t>
      </w:r>
    </w:p>
    <w:p w:rsidR="00C743BA" w:rsidRPr="00165FD2" w:rsidRDefault="00C743BA" w:rsidP="009C583A">
      <w:pPr>
        <w:jc w:val="center"/>
        <w:rPr>
          <w:rFonts w:cs="Simplified Arabic"/>
          <w:b/>
          <w:bCs/>
          <w:color w:val="000000"/>
          <w:sz w:val="22"/>
          <w:szCs w:val="22"/>
          <w:rtl/>
        </w:rPr>
      </w:pPr>
      <w:r w:rsidRPr="00165FD2">
        <w:rPr>
          <w:rFonts w:cs="Simplified Arabic" w:hint="cs"/>
          <w:b/>
          <w:bCs/>
          <w:color w:val="000000"/>
          <w:sz w:val="22"/>
          <w:szCs w:val="22"/>
          <w:rtl/>
        </w:rPr>
        <w:t>جدول</w:t>
      </w:r>
      <w:r w:rsidR="009C583A">
        <w:rPr>
          <w:rFonts w:cs="Simplified Arabic" w:hint="cs"/>
          <w:b/>
          <w:bCs/>
          <w:color w:val="000000"/>
          <w:sz w:val="22"/>
          <w:szCs w:val="22"/>
          <w:rtl/>
        </w:rPr>
        <w:t xml:space="preserve"> 12</w:t>
      </w:r>
      <w:r w:rsidRPr="00165FD2">
        <w:rPr>
          <w:rFonts w:cs="Simplified Arabic" w:hint="cs"/>
          <w:b/>
          <w:bCs/>
          <w:color w:val="000000"/>
          <w:sz w:val="22"/>
          <w:szCs w:val="22"/>
          <w:rtl/>
        </w:rPr>
        <w:t xml:space="preserve">:متوسط سعر صرف الدولار  الأمريكي مقابل </w:t>
      </w:r>
      <w:proofErr w:type="spellStart"/>
      <w:r w:rsidRPr="00165FD2">
        <w:rPr>
          <w:rFonts w:cs="Simplified Arabic" w:hint="cs"/>
          <w:b/>
          <w:bCs/>
          <w:color w:val="000000"/>
          <w:sz w:val="22"/>
          <w:szCs w:val="22"/>
          <w:rtl/>
        </w:rPr>
        <w:t>الشيكل</w:t>
      </w:r>
      <w:proofErr w:type="spellEnd"/>
      <w:r w:rsidRPr="00165FD2">
        <w:rPr>
          <w:rFonts w:cs="Simplified Arabic" w:hint="cs"/>
          <w:b/>
          <w:bCs/>
          <w:color w:val="000000"/>
          <w:sz w:val="22"/>
          <w:szCs w:val="22"/>
          <w:rtl/>
        </w:rPr>
        <w:t xml:space="preserve"> الإسرائيلي </w:t>
      </w:r>
      <w:r w:rsidR="006541C8">
        <w:rPr>
          <w:rFonts w:cs="Simplified Arabic" w:hint="cs"/>
          <w:b/>
          <w:bCs/>
          <w:color w:val="000000"/>
          <w:sz w:val="22"/>
          <w:szCs w:val="22"/>
          <w:rtl/>
        </w:rPr>
        <w:t xml:space="preserve">في الاراضي </w:t>
      </w:r>
      <w:proofErr w:type="spellStart"/>
      <w:r w:rsidR="006541C8">
        <w:rPr>
          <w:rFonts w:cs="Simplified Arabic" w:hint="cs"/>
          <w:b/>
          <w:bCs/>
          <w:color w:val="000000"/>
          <w:sz w:val="22"/>
          <w:szCs w:val="22"/>
          <w:rtl/>
        </w:rPr>
        <w:t>الفلسطينية</w:t>
      </w:r>
      <w:r w:rsidRPr="00165FD2">
        <w:rPr>
          <w:rFonts w:cs="Simplified Arabic" w:hint="cs"/>
          <w:b/>
          <w:bCs/>
          <w:color w:val="000000"/>
          <w:sz w:val="22"/>
          <w:szCs w:val="22"/>
          <w:rtl/>
        </w:rPr>
        <w:t>،</w:t>
      </w:r>
      <w:proofErr w:type="spellEnd"/>
      <w:r w:rsidRPr="00165FD2">
        <w:rPr>
          <w:rFonts w:cs="Simplified Arabic" w:hint="cs"/>
          <w:b/>
          <w:bCs/>
          <w:color w:val="000000"/>
          <w:sz w:val="22"/>
          <w:szCs w:val="22"/>
          <w:rtl/>
        </w:rPr>
        <w:t xml:space="preserve"> (2004-2010</w:t>
      </w:r>
      <w:proofErr w:type="spellStart"/>
      <w:r w:rsidRPr="00165FD2">
        <w:rPr>
          <w:rFonts w:cs="Simplified Arabic" w:hint="cs"/>
          <w:b/>
          <w:bCs/>
          <w:color w:val="000000"/>
          <w:sz w:val="22"/>
          <w:szCs w:val="22"/>
          <w:rtl/>
        </w:rPr>
        <w:t>)</w:t>
      </w:r>
      <w:proofErr w:type="spellEnd"/>
    </w:p>
    <w:tbl>
      <w:tblPr>
        <w:bidiVisual/>
        <w:tblW w:w="0" w:type="auto"/>
        <w:tblBorders>
          <w:top w:val="single" w:sz="12" w:space="0" w:color="auto"/>
          <w:bottom w:val="single" w:sz="12" w:space="0" w:color="auto"/>
          <w:insideH w:val="single" w:sz="12" w:space="0" w:color="auto"/>
        </w:tblBorders>
        <w:tblLook w:val="0000"/>
      </w:tblPr>
      <w:tblGrid>
        <w:gridCol w:w="2480"/>
        <w:gridCol w:w="810"/>
        <w:gridCol w:w="809"/>
        <w:gridCol w:w="809"/>
        <w:gridCol w:w="809"/>
        <w:gridCol w:w="909"/>
        <w:gridCol w:w="909"/>
        <w:gridCol w:w="909"/>
        <w:gridCol w:w="908"/>
      </w:tblGrid>
      <w:tr w:rsidR="00C743BA" w:rsidRPr="00165FD2" w:rsidTr="00211679">
        <w:trPr>
          <w:trHeight w:val="341"/>
        </w:trPr>
        <w:tc>
          <w:tcPr>
            <w:tcW w:w="2480" w:type="dxa"/>
          </w:tcPr>
          <w:p w:rsidR="00C743BA" w:rsidRPr="00FB36FA" w:rsidRDefault="00C743BA" w:rsidP="00211679">
            <w:pPr>
              <w:jc w:val="lowKashida"/>
              <w:rPr>
                <w:rFonts w:ascii="Arial" w:hAnsi="Arial" w:cs="Arial"/>
                <w:b/>
                <w:bCs/>
                <w:color w:val="000000"/>
                <w:sz w:val="18"/>
                <w:szCs w:val="18"/>
              </w:rPr>
            </w:pPr>
          </w:p>
        </w:tc>
        <w:tc>
          <w:tcPr>
            <w:tcW w:w="810"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2004</w:t>
            </w:r>
          </w:p>
        </w:tc>
        <w:tc>
          <w:tcPr>
            <w:tcW w:w="809"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2005</w:t>
            </w:r>
          </w:p>
        </w:tc>
        <w:tc>
          <w:tcPr>
            <w:tcW w:w="809"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2006</w:t>
            </w:r>
          </w:p>
        </w:tc>
        <w:tc>
          <w:tcPr>
            <w:tcW w:w="809"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2007</w:t>
            </w:r>
          </w:p>
        </w:tc>
        <w:tc>
          <w:tcPr>
            <w:tcW w:w="909"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2008</w:t>
            </w:r>
          </w:p>
        </w:tc>
        <w:tc>
          <w:tcPr>
            <w:tcW w:w="909"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2009</w:t>
            </w:r>
          </w:p>
        </w:tc>
        <w:tc>
          <w:tcPr>
            <w:tcW w:w="909" w:type="dxa"/>
            <w:vAlign w:val="center"/>
          </w:tcPr>
          <w:p w:rsidR="00C743BA" w:rsidRPr="00FB36FA" w:rsidRDefault="00C743BA" w:rsidP="00211679">
            <w:pPr>
              <w:jc w:val="center"/>
              <w:rPr>
                <w:rFonts w:ascii="Arial" w:hAnsi="Arial" w:cs="Arial"/>
                <w:b/>
                <w:bCs/>
                <w:color w:val="000000"/>
                <w:sz w:val="18"/>
                <w:szCs w:val="18"/>
              </w:rPr>
            </w:pPr>
            <w:r w:rsidRPr="00FB36FA">
              <w:rPr>
                <w:rFonts w:ascii="Arial" w:hAnsi="Arial" w:cs="Arial"/>
                <w:b/>
                <w:bCs/>
                <w:color w:val="000000"/>
                <w:sz w:val="18"/>
                <w:szCs w:val="18"/>
                <w:rtl/>
              </w:rPr>
              <w:t>2010</w:t>
            </w:r>
          </w:p>
        </w:tc>
        <w:tc>
          <w:tcPr>
            <w:tcW w:w="908" w:type="dxa"/>
          </w:tcPr>
          <w:p w:rsidR="00C743BA" w:rsidRPr="00FB36FA" w:rsidRDefault="00C743BA" w:rsidP="00211679">
            <w:pPr>
              <w:jc w:val="center"/>
              <w:rPr>
                <w:rFonts w:ascii="Arial" w:hAnsi="Arial" w:cs="Arial"/>
                <w:b/>
                <w:bCs/>
                <w:color w:val="000000"/>
                <w:sz w:val="18"/>
                <w:szCs w:val="18"/>
                <w:rtl/>
              </w:rPr>
            </w:pPr>
            <w:r w:rsidRPr="00FB36FA">
              <w:rPr>
                <w:rFonts w:ascii="Arial" w:hAnsi="Arial" w:cs="Arial"/>
                <w:b/>
                <w:bCs/>
                <w:color w:val="000000"/>
                <w:sz w:val="18"/>
                <w:szCs w:val="18"/>
                <w:rtl/>
              </w:rPr>
              <w:t>2011</w:t>
            </w:r>
          </w:p>
        </w:tc>
      </w:tr>
      <w:tr w:rsidR="00C743BA" w:rsidRPr="00165FD2" w:rsidTr="00211679">
        <w:trPr>
          <w:trHeight w:val="341"/>
        </w:trPr>
        <w:tc>
          <w:tcPr>
            <w:tcW w:w="2480" w:type="dxa"/>
          </w:tcPr>
          <w:p w:rsidR="00C743BA" w:rsidRPr="00FB36FA" w:rsidRDefault="00C743BA" w:rsidP="00211679">
            <w:pPr>
              <w:rPr>
                <w:rFonts w:ascii="Arial" w:hAnsi="Arial" w:cs="Arial"/>
                <w:color w:val="000000"/>
                <w:sz w:val="18"/>
                <w:szCs w:val="18"/>
              </w:rPr>
            </w:pPr>
            <w:r w:rsidRPr="00FB36FA">
              <w:rPr>
                <w:rFonts w:ascii="Arial" w:hAnsi="Arial" w:cs="Arial"/>
                <w:color w:val="000000"/>
                <w:sz w:val="18"/>
                <w:szCs w:val="18"/>
                <w:rtl/>
              </w:rPr>
              <w:t>المتوسط السنوي</w:t>
            </w:r>
          </w:p>
        </w:tc>
        <w:tc>
          <w:tcPr>
            <w:tcW w:w="810"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4.48</w:t>
            </w:r>
          </w:p>
        </w:tc>
        <w:tc>
          <w:tcPr>
            <w:tcW w:w="809"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4.49</w:t>
            </w:r>
          </w:p>
        </w:tc>
        <w:tc>
          <w:tcPr>
            <w:tcW w:w="809"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4.46</w:t>
            </w:r>
          </w:p>
        </w:tc>
        <w:tc>
          <w:tcPr>
            <w:tcW w:w="809"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4.11</w:t>
            </w:r>
          </w:p>
        </w:tc>
        <w:tc>
          <w:tcPr>
            <w:tcW w:w="909"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3.58</w:t>
            </w:r>
          </w:p>
        </w:tc>
        <w:tc>
          <w:tcPr>
            <w:tcW w:w="909"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3.92</w:t>
            </w:r>
          </w:p>
        </w:tc>
        <w:tc>
          <w:tcPr>
            <w:tcW w:w="909" w:type="dxa"/>
            <w:vAlign w:val="center"/>
          </w:tcPr>
          <w:p w:rsidR="00C743BA" w:rsidRPr="00FB36FA" w:rsidRDefault="00C743BA" w:rsidP="00211679">
            <w:pPr>
              <w:jc w:val="center"/>
              <w:rPr>
                <w:rFonts w:ascii="Arial" w:hAnsi="Arial" w:cs="Arial"/>
                <w:color w:val="000000"/>
                <w:sz w:val="18"/>
                <w:szCs w:val="18"/>
              </w:rPr>
            </w:pPr>
            <w:r w:rsidRPr="00FB36FA">
              <w:rPr>
                <w:rFonts w:ascii="Arial" w:hAnsi="Arial" w:cs="Arial"/>
                <w:color w:val="000000"/>
                <w:sz w:val="18"/>
                <w:szCs w:val="18"/>
                <w:rtl/>
              </w:rPr>
              <w:t>3.73</w:t>
            </w:r>
          </w:p>
        </w:tc>
        <w:tc>
          <w:tcPr>
            <w:tcW w:w="908" w:type="dxa"/>
            <w:vAlign w:val="center"/>
          </w:tcPr>
          <w:p w:rsidR="00C743BA" w:rsidRPr="00FB36FA" w:rsidRDefault="00C743BA" w:rsidP="00211679">
            <w:pPr>
              <w:jc w:val="center"/>
              <w:rPr>
                <w:rFonts w:ascii="Arial" w:hAnsi="Arial" w:cs="Arial"/>
                <w:color w:val="000000"/>
                <w:sz w:val="18"/>
                <w:szCs w:val="18"/>
                <w:rtl/>
              </w:rPr>
            </w:pPr>
            <w:r w:rsidRPr="00FB36FA">
              <w:rPr>
                <w:rFonts w:ascii="Arial" w:hAnsi="Arial" w:cs="Arial"/>
                <w:color w:val="000000"/>
                <w:sz w:val="18"/>
                <w:szCs w:val="18"/>
                <w:rtl/>
              </w:rPr>
              <w:t>3.57</w:t>
            </w:r>
          </w:p>
        </w:tc>
      </w:tr>
    </w:tbl>
    <w:p w:rsidR="00C743BA" w:rsidRDefault="00C743BA" w:rsidP="00C743BA">
      <w:pPr>
        <w:bidi w:val="0"/>
        <w:rPr>
          <w:rFonts w:cs="Simplified Arabic"/>
          <w:b/>
          <w:bCs/>
          <w:color w:val="000000"/>
        </w:rPr>
      </w:pPr>
    </w:p>
    <w:p w:rsidR="00C743BA" w:rsidRPr="00FE7858" w:rsidRDefault="00C743BA" w:rsidP="00C743BA">
      <w:pPr>
        <w:rPr>
          <w:rFonts w:cs="Simplified Arabic"/>
          <w:color w:val="000000"/>
        </w:rPr>
      </w:pPr>
    </w:p>
    <w:p w:rsidR="00C743BA" w:rsidRDefault="00C743BA" w:rsidP="00C743BA"/>
    <w:p w:rsidR="004D2540" w:rsidRDefault="004D2540" w:rsidP="00C743BA">
      <w:pPr>
        <w:pStyle w:val="Heading2"/>
        <w:jc w:val="both"/>
        <w:rPr>
          <w:b w:val="0"/>
          <w:bCs w:val="0"/>
          <w:color w:val="000000" w:themeColor="text1"/>
        </w:rPr>
      </w:pPr>
    </w:p>
    <w:p w:rsidR="004D2540" w:rsidRPr="00FE7858" w:rsidRDefault="004D2540" w:rsidP="00FE7858">
      <w:pPr>
        <w:rPr>
          <w:rFonts w:cs="Simplified Arabic"/>
          <w:color w:val="000000" w:themeColor="text1"/>
        </w:rPr>
      </w:pPr>
    </w:p>
    <w:sectPr w:rsidR="004D2540" w:rsidRPr="00FE7858" w:rsidSect="002B57F2">
      <w:headerReference w:type="default" r:id="rId30"/>
      <w:footerReference w:type="even" r:id="rId31"/>
      <w:footerReference w:type="default" r:id="rId32"/>
      <w:pgSz w:w="11906" w:h="16838"/>
      <w:pgMar w:top="1418" w:right="1418" w:bottom="1418" w:left="1276"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4F5" w:rsidRDefault="00EA54F5">
      <w:r>
        <w:separator/>
      </w:r>
    </w:p>
  </w:endnote>
  <w:endnote w:type="continuationSeparator" w:id="0">
    <w:p w:rsidR="00EA54F5" w:rsidRDefault="00EA54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
    <w:altName w:val="Times New Roman"/>
    <w:panose1 w:val="00000000000000000000"/>
    <w:charset w:val="00"/>
    <w:family w:val="roman"/>
    <w:notTrueType/>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83A" w:rsidRDefault="00923B98">
    <w:pPr>
      <w:pStyle w:val="Footer"/>
      <w:framePr w:wrap="around" w:vAnchor="text" w:hAnchor="margin" w:xAlign="center" w:y="1"/>
      <w:rPr>
        <w:rStyle w:val="PageNumber"/>
        <w:rtl/>
      </w:rPr>
    </w:pPr>
    <w:r>
      <w:rPr>
        <w:rStyle w:val="PageNumber"/>
        <w:rtl/>
      </w:rPr>
      <w:fldChar w:fldCharType="begin"/>
    </w:r>
    <w:r w:rsidR="009C583A">
      <w:rPr>
        <w:rStyle w:val="PageNumber"/>
      </w:rPr>
      <w:instrText xml:space="preserve">PAGE  </w:instrText>
    </w:r>
    <w:r>
      <w:rPr>
        <w:rStyle w:val="PageNumber"/>
        <w:rtl/>
      </w:rPr>
      <w:fldChar w:fldCharType="end"/>
    </w:r>
  </w:p>
  <w:p w:rsidR="009C583A" w:rsidRDefault="009C583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83A" w:rsidRDefault="00923B98">
    <w:pPr>
      <w:pStyle w:val="Footer"/>
      <w:framePr w:wrap="around" w:vAnchor="text" w:hAnchor="margin" w:xAlign="center" w:y="1"/>
      <w:jc w:val="center"/>
      <w:rPr>
        <w:rStyle w:val="PageNumber"/>
        <w:rtl/>
      </w:rPr>
    </w:pPr>
    <w:r>
      <w:rPr>
        <w:rStyle w:val="PageNumber"/>
        <w:rtl/>
      </w:rPr>
      <w:fldChar w:fldCharType="begin"/>
    </w:r>
    <w:r w:rsidR="009C583A">
      <w:rPr>
        <w:rStyle w:val="PageNumber"/>
      </w:rPr>
      <w:instrText xml:space="preserve">PAGE  </w:instrText>
    </w:r>
    <w:r>
      <w:rPr>
        <w:rStyle w:val="PageNumber"/>
        <w:rtl/>
      </w:rPr>
      <w:fldChar w:fldCharType="separate"/>
    </w:r>
    <w:r w:rsidR="00F50694">
      <w:rPr>
        <w:rStyle w:val="PageNumber"/>
        <w:noProof/>
        <w:rtl/>
      </w:rPr>
      <w:t>36</w:t>
    </w:r>
    <w:r>
      <w:rPr>
        <w:rStyle w:val="PageNumber"/>
        <w:rtl/>
      </w:rPr>
      <w:fldChar w:fldCharType="end"/>
    </w:r>
  </w:p>
  <w:p w:rsidR="009C583A" w:rsidRDefault="009C583A">
    <w:pPr>
      <w:pStyle w:val="Footer"/>
      <w:framePr w:wrap="around" w:vAnchor="text" w:hAnchor="margin" w:xAlign="center" w:y="1"/>
      <w:rPr>
        <w:rStyle w:val="PageNumber"/>
        <w:rtl/>
      </w:rPr>
    </w:pPr>
  </w:p>
  <w:p w:rsidR="009C583A" w:rsidRDefault="009C583A">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4F5" w:rsidRDefault="00EA54F5">
      <w:r>
        <w:separator/>
      </w:r>
    </w:p>
  </w:footnote>
  <w:footnote w:type="continuationSeparator" w:id="0">
    <w:p w:rsidR="00EA54F5" w:rsidRDefault="00EA54F5">
      <w:r>
        <w:continuationSeparator/>
      </w:r>
    </w:p>
  </w:footnote>
  <w:footnote w:id="1">
    <w:p w:rsidR="009C583A" w:rsidRDefault="009C583A">
      <w:pPr>
        <w:pStyle w:val="FootnoteText"/>
      </w:pPr>
      <w:r>
        <w:rPr>
          <w:rStyle w:val="FootnoteReference"/>
        </w:rPr>
        <w:footnoteRef/>
      </w:r>
      <w:r>
        <w:rPr>
          <w:rtl/>
        </w:rPr>
        <w:t xml:space="preserve"> </w:t>
      </w:r>
      <w:r>
        <w:rPr>
          <w:rFonts w:cs="Simplified Arabic" w:hint="cs"/>
          <w:sz w:val="18"/>
          <w:szCs w:val="18"/>
          <w:rtl/>
          <w:lang w:eastAsia="en-US"/>
        </w:rPr>
        <w:t>البيانات باستثناء ذلك الجزء من محافظة القدس والذي ضمته إسرائيل عنوة بعيد احتلالها للضفة الغربية عام 1967.</w:t>
      </w:r>
      <w:r>
        <w:rPr>
          <w:rFonts w:cs="Simplified Arabic" w:hint="cs"/>
          <w:b/>
          <w:bCs/>
          <w:sz w:val="18"/>
          <w:szCs w:val="18"/>
          <w:rtl/>
          <w:lang w:eastAsia="en-US"/>
        </w:rPr>
        <w:t xml:space="preserve">  </w:t>
      </w:r>
    </w:p>
  </w:footnote>
  <w:footnote w:id="2">
    <w:p w:rsidR="009C583A" w:rsidRPr="00480055" w:rsidRDefault="009C583A" w:rsidP="00B41856">
      <w:pPr>
        <w:pStyle w:val="FootnoteText"/>
        <w:rPr>
          <w:rFonts w:cs="Simplified Arabic"/>
          <w:color w:val="000000" w:themeColor="text1"/>
          <w:sz w:val="18"/>
          <w:szCs w:val="18"/>
          <w:rtl/>
        </w:rPr>
      </w:pPr>
      <w:r w:rsidRPr="00480055">
        <w:rPr>
          <w:rStyle w:val="FootnoteReference"/>
          <w:sz w:val="18"/>
          <w:szCs w:val="18"/>
        </w:rPr>
        <w:t>1</w:t>
      </w:r>
      <w:r w:rsidRPr="00480055">
        <w:rPr>
          <w:rFonts w:cs="Simplified Arabic"/>
          <w:color w:val="000000" w:themeColor="text1"/>
          <w:sz w:val="18"/>
          <w:szCs w:val="18"/>
        </w:rPr>
        <w:t xml:space="preserve"> </w:t>
      </w:r>
      <w:r w:rsidRPr="00480055">
        <w:rPr>
          <w:rFonts w:cs="Simplified Arabic" w:hint="cs"/>
          <w:color w:val="000000" w:themeColor="text1"/>
          <w:sz w:val="18"/>
          <w:szCs w:val="18"/>
          <w:rtl/>
        </w:rPr>
        <w:t xml:space="preserve"> الإنتاجية = القيمة المضافة/عدد العاملين</w:t>
      </w:r>
    </w:p>
  </w:footnote>
  <w:footnote w:id="3">
    <w:p w:rsidR="009C583A" w:rsidRDefault="009C583A" w:rsidP="00A56F8C">
      <w:pPr>
        <w:pStyle w:val="FootnoteText"/>
      </w:pPr>
      <w:r>
        <w:rPr>
          <w:rStyle w:val="FootnoteReference"/>
          <w:rtl/>
        </w:rPr>
        <w:t>1</w:t>
      </w:r>
      <w:r>
        <w:rPr>
          <w:rtl/>
        </w:rPr>
        <w:t xml:space="preserve"> </w:t>
      </w:r>
      <w:r>
        <w:rPr>
          <w:rFonts w:cs="Simplified Arabic" w:hint="cs"/>
          <w:b/>
          <w:bCs/>
          <w:sz w:val="18"/>
          <w:szCs w:val="18"/>
          <w:rtl/>
        </w:rPr>
        <w:t xml:space="preserve"> </w:t>
      </w:r>
      <w:r>
        <w:rPr>
          <w:rFonts w:cs="Simplified Arabic" w:hint="eastAsia"/>
          <w:sz w:val="18"/>
          <w:szCs w:val="18"/>
          <w:rtl/>
        </w:rPr>
        <w:t>تندرج</w:t>
      </w:r>
      <w:r>
        <w:rPr>
          <w:rFonts w:cs="Simplified Arabic"/>
          <w:sz w:val="18"/>
          <w:szCs w:val="18"/>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Pr>
          <w:rFonts w:cs="Simplified Arabic" w:hint="cs"/>
          <w:sz w:val="18"/>
          <w:szCs w:val="18"/>
          <w:rtl/>
        </w:rPr>
        <w:t xml:space="preserve">  </w:t>
      </w:r>
      <w:r>
        <w:rPr>
          <w:rFonts w:cs="Simplified Arabic" w:hint="eastAsia"/>
          <w:sz w:val="18"/>
          <w:szCs w:val="18"/>
          <w:rtl/>
        </w:rPr>
        <w:t>أما</w:t>
      </w:r>
      <w:r>
        <w:rPr>
          <w:rFonts w:cs="Simplified Arabic"/>
          <w:sz w:val="18"/>
          <w:szCs w:val="18"/>
          <w:rtl/>
        </w:rPr>
        <w:t xml:space="preserve"> حيازة الأصول غير المنتجة غير المالية أو التصرف فيها، فتشمل الأصول غير الملموسة مثل </w:t>
      </w:r>
      <w:proofErr w:type="spellStart"/>
      <w:r>
        <w:rPr>
          <w:rFonts w:cs="Simplified Arabic"/>
          <w:sz w:val="18"/>
          <w:szCs w:val="18"/>
          <w:rtl/>
        </w:rPr>
        <w:t>البراءات</w:t>
      </w:r>
      <w:proofErr w:type="spellEnd"/>
      <w:r>
        <w:rPr>
          <w:rFonts w:cs="Simplified Arabic"/>
          <w:sz w:val="18"/>
          <w:szCs w:val="18"/>
          <w:rtl/>
        </w:rPr>
        <w:t xml:space="preserve"> المرخصة وعقود التأجير وغير ذلك من العقود القابلة للتحويل للغير، والشهرة التجارية وما شابه ذلك.</w:t>
      </w:r>
    </w:p>
  </w:footnote>
  <w:footnote w:id="4">
    <w:p w:rsidR="009C583A" w:rsidRDefault="009C583A" w:rsidP="00FF3804">
      <w:pPr>
        <w:pStyle w:val="FootnoteText"/>
      </w:pPr>
      <w:r>
        <w:rPr>
          <w:rStyle w:val="FootnoteReference"/>
          <w:rtl/>
        </w:rPr>
        <w:t>1</w:t>
      </w:r>
      <w:r>
        <w:rPr>
          <w:rtl/>
        </w:rPr>
        <w:t xml:space="preserve"> </w:t>
      </w:r>
      <w:r>
        <w:rPr>
          <w:rFonts w:cs="Simplified Arabic" w:hint="cs"/>
          <w:sz w:val="18"/>
          <w:szCs w:val="18"/>
          <w:rtl/>
        </w:rPr>
        <w:t>بيانات التجارة الخارجية مرصودة وغير مرصودة وتشمل منطقة القدس (</w:t>
      </w:r>
      <w:r>
        <w:rPr>
          <w:rFonts w:cs="Simplified Arabic"/>
          <w:sz w:val="18"/>
          <w:szCs w:val="18"/>
          <w:lang w:val="af-ZA"/>
        </w:rPr>
        <w:t>(J1</w:t>
      </w:r>
    </w:p>
  </w:footnote>
  <w:footnote w:id="5">
    <w:p w:rsidR="009C583A" w:rsidRDefault="009C583A" w:rsidP="00C743BA">
      <w:pPr>
        <w:pStyle w:val="FootnoteText"/>
        <w:rPr>
          <w:rtl/>
        </w:rPr>
      </w:pPr>
      <w:r>
        <w:rPr>
          <w:rStyle w:val="FootnoteReference"/>
          <w:rtl/>
        </w:rPr>
        <w:t>1</w:t>
      </w:r>
      <w:r>
        <w:rPr>
          <w:rtl/>
        </w:rPr>
        <w:t xml:space="preserve"> </w:t>
      </w:r>
      <w:r>
        <w:rPr>
          <w:rFonts w:hint="cs"/>
          <w:rtl/>
        </w:rPr>
        <w:t>المالية العامة لا تشمل بيانات الحكومة المحلية (المجالس والبلديات)، البيانات من خلال موقع وزارة المالية.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83A" w:rsidRPr="00C12113" w:rsidRDefault="009C583A">
    <w:pPr>
      <w:pStyle w:val="Header"/>
      <w:rPr>
        <w:rFonts w:cs="Simplified Arabic"/>
        <w:sz w:val="18"/>
        <w:szCs w:val="18"/>
      </w:rPr>
    </w:pPr>
    <w:r>
      <w:rPr>
        <w:rFonts w:cs="Simplified Arabic"/>
        <w:sz w:val="18"/>
        <w:szCs w:val="18"/>
      </w:rPr>
      <w:t xml:space="preserve"> PCBS</w:t>
    </w:r>
    <w:r>
      <w:rPr>
        <w:rFonts w:cs="Simplified Arabic" w:hint="cs"/>
        <w:sz w:val="18"/>
        <w:szCs w:val="18"/>
        <w:rtl/>
      </w:rPr>
      <w:t>:</w:t>
    </w:r>
    <w:r w:rsidRPr="00C12113">
      <w:rPr>
        <w:rFonts w:cs="Simplified Arabic" w:hint="cs"/>
        <w:sz w:val="18"/>
        <w:szCs w:val="18"/>
        <w:rtl/>
      </w:rPr>
      <w:t>اداء الاقتصاد الفلسطيني،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6">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9">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1">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2">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3">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16">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17">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0">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4">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5">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9">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7D2E1EC2"/>
    <w:multiLevelType w:val="singleLevel"/>
    <w:tmpl w:val="0409000F"/>
    <w:lvl w:ilvl="0">
      <w:start w:val="1"/>
      <w:numFmt w:val="decimal"/>
      <w:lvlText w:val="%1."/>
      <w:lvlJc w:val="center"/>
      <w:pPr>
        <w:tabs>
          <w:tab w:val="num" w:pos="648"/>
        </w:tabs>
        <w:ind w:left="360" w:right="360" w:hanging="72"/>
      </w:pPr>
    </w:lvl>
  </w:abstractNum>
  <w:num w:numId="1">
    <w:abstractNumId w:val="21"/>
  </w:num>
  <w:num w:numId="2">
    <w:abstractNumId w:val="16"/>
  </w:num>
  <w:num w:numId="3">
    <w:abstractNumId w:val="6"/>
  </w:num>
  <w:num w:numId="4">
    <w:abstractNumId w:val="32"/>
  </w:num>
  <w:num w:numId="5">
    <w:abstractNumId w:val="11"/>
  </w:num>
  <w:num w:numId="6">
    <w:abstractNumId w:val="23"/>
  </w:num>
  <w:num w:numId="7">
    <w:abstractNumId w:val="28"/>
  </w:num>
  <w:num w:numId="8">
    <w:abstractNumId w:val="19"/>
  </w:num>
  <w:num w:numId="9">
    <w:abstractNumId w:val="4"/>
  </w:num>
  <w:num w:numId="10">
    <w:abstractNumId w:val="10"/>
  </w:num>
  <w:num w:numId="11">
    <w:abstractNumId w:val="29"/>
  </w:num>
  <w:num w:numId="12">
    <w:abstractNumId w:val="22"/>
  </w:num>
  <w:num w:numId="13">
    <w:abstractNumId w:val="5"/>
  </w:num>
  <w:num w:numId="14">
    <w:abstractNumId w:val="13"/>
  </w:num>
  <w:num w:numId="15">
    <w:abstractNumId w:val="27"/>
  </w:num>
  <w:num w:numId="16">
    <w:abstractNumId w:val="17"/>
  </w:num>
  <w:num w:numId="17">
    <w:abstractNumId w:val="14"/>
  </w:num>
  <w:num w:numId="18">
    <w:abstractNumId w:val="1"/>
  </w:num>
  <w:num w:numId="19">
    <w:abstractNumId w:val="12"/>
  </w:num>
  <w:num w:numId="20">
    <w:abstractNumId w:val="15"/>
  </w:num>
  <w:num w:numId="21">
    <w:abstractNumId w:val="24"/>
  </w:num>
  <w:num w:numId="22">
    <w:abstractNumId w:val="20"/>
  </w:num>
  <w:num w:numId="23">
    <w:abstractNumId w:val="9"/>
  </w:num>
  <w:num w:numId="24">
    <w:abstractNumId w:val="31"/>
  </w:num>
  <w:num w:numId="25">
    <w:abstractNumId w:val="26"/>
  </w:num>
  <w:num w:numId="26">
    <w:abstractNumId w:val="7"/>
  </w:num>
  <w:num w:numId="27">
    <w:abstractNumId w:val="3"/>
  </w:num>
  <w:num w:numId="28">
    <w:abstractNumId w:val="2"/>
  </w:num>
  <w:num w:numId="29">
    <w:abstractNumId w:val="8"/>
  </w:num>
  <w:num w:numId="30">
    <w:abstractNumId w:val="25"/>
  </w:num>
  <w:num w:numId="31">
    <w:abstractNumId w:val="30"/>
  </w:num>
  <w:num w:numId="32">
    <w:abstractNumId w:val="0"/>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20"/>
  <w:noPunctuationKerning/>
  <w:characterSpacingControl w:val="doNotCompress"/>
  <w:hdrShapeDefaults>
    <o:shapedefaults v:ext="edit" spidmax="121858"/>
  </w:hdrShapeDefaults>
  <w:footnotePr>
    <w:footnote w:id="-1"/>
    <w:footnote w:id="0"/>
  </w:footnotePr>
  <w:endnotePr>
    <w:endnote w:id="-1"/>
    <w:endnote w:id="0"/>
  </w:endnotePr>
  <w:compat/>
  <w:rsids>
    <w:rsidRoot w:val="00265E1A"/>
    <w:rsid w:val="00003758"/>
    <w:rsid w:val="00006393"/>
    <w:rsid w:val="00006D99"/>
    <w:rsid w:val="00012A8E"/>
    <w:rsid w:val="00020CB1"/>
    <w:rsid w:val="000242DA"/>
    <w:rsid w:val="0002780D"/>
    <w:rsid w:val="00034450"/>
    <w:rsid w:val="00051C6B"/>
    <w:rsid w:val="000520A9"/>
    <w:rsid w:val="00064CEB"/>
    <w:rsid w:val="000673DE"/>
    <w:rsid w:val="000742CE"/>
    <w:rsid w:val="000747FE"/>
    <w:rsid w:val="000776D5"/>
    <w:rsid w:val="00080DEF"/>
    <w:rsid w:val="00085F24"/>
    <w:rsid w:val="00086E41"/>
    <w:rsid w:val="000904CF"/>
    <w:rsid w:val="0009472A"/>
    <w:rsid w:val="000A0E84"/>
    <w:rsid w:val="000A7986"/>
    <w:rsid w:val="000B240A"/>
    <w:rsid w:val="000B3FA7"/>
    <w:rsid w:val="000B52BE"/>
    <w:rsid w:val="000B7297"/>
    <w:rsid w:val="000C2636"/>
    <w:rsid w:val="000C6B61"/>
    <w:rsid w:val="000D1F26"/>
    <w:rsid w:val="000D63BE"/>
    <w:rsid w:val="000E4045"/>
    <w:rsid w:val="000E4153"/>
    <w:rsid w:val="000E4C66"/>
    <w:rsid w:val="000E5446"/>
    <w:rsid w:val="000F2C19"/>
    <w:rsid w:val="0010320B"/>
    <w:rsid w:val="00110BAB"/>
    <w:rsid w:val="00114017"/>
    <w:rsid w:val="0011769C"/>
    <w:rsid w:val="00117D76"/>
    <w:rsid w:val="00117DB3"/>
    <w:rsid w:val="00122F78"/>
    <w:rsid w:val="00127E98"/>
    <w:rsid w:val="00131671"/>
    <w:rsid w:val="001422DC"/>
    <w:rsid w:val="001658D8"/>
    <w:rsid w:val="00165FD2"/>
    <w:rsid w:val="00172E99"/>
    <w:rsid w:val="00173496"/>
    <w:rsid w:val="00175DE0"/>
    <w:rsid w:val="0017664B"/>
    <w:rsid w:val="001769D7"/>
    <w:rsid w:val="001773A5"/>
    <w:rsid w:val="00180578"/>
    <w:rsid w:val="00180E52"/>
    <w:rsid w:val="00182829"/>
    <w:rsid w:val="00183262"/>
    <w:rsid w:val="00184F4B"/>
    <w:rsid w:val="00187B01"/>
    <w:rsid w:val="00192CEC"/>
    <w:rsid w:val="00197187"/>
    <w:rsid w:val="001979A2"/>
    <w:rsid w:val="001A4B9B"/>
    <w:rsid w:val="001A4D0F"/>
    <w:rsid w:val="001A7593"/>
    <w:rsid w:val="001A788D"/>
    <w:rsid w:val="001B5D00"/>
    <w:rsid w:val="001C085A"/>
    <w:rsid w:val="001C16E4"/>
    <w:rsid w:val="001C1AEA"/>
    <w:rsid w:val="001C35B2"/>
    <w:rsid w:val="001C4693"/>
    <w:rsid w:val="001D209E"/>
    <w:rsid w:val="001D60A3"/>
    <w:rsid w:val="001D70E8"/>
    <w:rsid w:val="001D731D"/>
    <w:rsid w:val="001E197E"/>
    <w:rsid w:val="001E1C30"/>
    <w:rsid w:val="001E2077"/>
    <w:rsid w:val="001E59BB"/>
    <w:rsid w:val="001E60BB"/>
    <w:rsid w:val="001F5B5D"/>
    <w:rsid w:val="001F7F33"/>
    <w:rsid w:val="002016D9"/>
    <w:rsid w:val="00203847"/>
    <w:rsid w:val="00204065"/>
    <w:rsid w:val="00211679"/>
    <w:rsid w:val="00211C81"/>
    <w:rsid w:val="00214B0B"/>
    <w:rsid w:val="00216751"/>
    <w:rsid w:val="002316DA"/>
    <w:rsid w:val="00232DB7"/>
    <w:rsid w:val="00233080"/>
    <w:rsid w:val="0023544E"/>
    <w:rsid w:val="00240B55"/>
    <w:rsid w:val="002412CA"/>
    <w:rsid w:val="00245539"/>
    <w:rsid w:val="0024795E"/>
    <w:rsid w:val="0025280F"/>
    <w:rsid w:val="00254B8C"/>
    <w:rsid w:val="00255045"/>
    <w:rsid w:val="00255BBF"/>
    <w:rsid w:val="002563F6"/>
    <w:rsid w:val="002607EC"/>
    <w:rsid w:val="0026286B"/>
    <w:rsid w:val="0026594A"/>
    <w:rsid w:val="00265E1A"/>
    <w:rsid w:val="00267A1D"/>
    <w:rsid w:val="00271488"/>
    <w:rsid w:val="002738E2"/>
    <w:rsid w:val="00273BAE"/>
    <w:rsid w:val="00276162"/>
    <w:rsid w:val="00277937"/>
    <w:rsid w:val="00282458"/>
    <w:rsid w:val="002825AF"/>
    <w:rsid w:val="00283359"/>
    <w:rsid w:val="00283D6D"/>
    <w:rsid w:val="002850FD"/>
    <w:rsid w:val="002903CD"/>
    <w:rsid w:val="00291F13"/>
    <w:rsid w:val="002927B1"/>
    <w:rsid w:val="002928FC"/>
    <w:rsid w:val="00296797"/>
    <w:rsid w:val="00297B43"/>
    <w:rsid w:val="002A4CD9"/>
    <w:rsid w:val="002A545B"/>
    <w:rsid w:val="002A61C0"/>
    <w:rsid w:val="002A6B04"/>
    <w:rsid w:val="002A6E82"/>
    <w:rsid w:val="002B05B0"/>
    <w:rsid w:val="002B57F2"/>
    <w:rsid w:val="002B6822"/>
    <w:rsid w:val="002B7F29"/>
    <w:rsid w:val="002C2F5E"/>
    <w:rsid w:val="002C3842"/>
    <w:rsid w:val="002C5A1B"/>
    <w:rsid w:val="002D0BF6"/>
    <w:rsid w:val="002D0F8E"/>
    <w:rsid w:val="002D3645"/>
    <w:rsid w:val="002D55A7"/>
    <w:rsid w:val="002D7F06"/>
    <w:rsid w:val="002E128E"/>
    <w:rsid w:val="002E13DB"/>
    <w:rsid w:val="002E2532"/>
    <w:rsid w:val="002E3680"/>
    <w:rsid w:val="002E56CE"/>
    <w:rsid w:val="002E7DB5"/>
    <w:rsid w:val="002F1703"/>
    <w:rsid w:val="002F5404"/>
    <w:rsid w:val="002F7E3F"/>
    <w:rsid w:val="00300FA7"/>
    <w:rsid w:val="00305FC1"/>
    <w:rsid w:val="00306E7F"/>
    <w:rsid w:val="0031242E"/>
    <w:rsid w:val="00316476"/>
    <w:rsid w:val="003167F9"/>
    <w:rsid w:val="00322317"/>
    <w:rsid w:val="0032291F"/>
    <w:rsid w:val="00323468"/>
    <w:rsid w:val="00323539"/>
    <w:rsid w:val="00324F71"/>
    <w:rsid w:val="00334737"/>
    <w:rsid w:val="00337D04"/>
    <w:rsid w:val="00341182"/>
    <w:rsid w:val="00353293"/>
    <w:rsid w:val="003539AB"/>
    <w:rsid w:val="003541E6"/>
    <w:rsid w:val="00360A3C"/>
    <w:rsid w:val="003621F0"/>
    <w:rsid w:val="00362B17"/>
    <w:rsid w:val="00365489"/>
    <w:rsid w:val="00367859"/>
    <w:rsid w:val="00372D2C"/>
    <w:rsid w:val="003753D4"/>
    <w:rsid w:val="003761D5"/>
    <w:rsid w:val="00381EFD"/>
    <w:rsid w:val="00385105"/>
    <w:rsid w:val="00385CDA"/>
    <w:rsid w:val="00385ED9"/>
    <w:rsid w:val="00387392"/>
    <w:rsid w:val="003902E5"/>
    <w:rsid w:val="003961EB"/>
    <w:rsid w:val="003A2463"/>
    <w:rsid w:val="003A4997"/>
    <w:rsid w:val="003A49FD"/>
    <w:rsid w:val="003A736C"/>
    <w:rsid w:val="003B2782"/>
    <w:rsid w:val="003B2B7A"/>
    <w:rsid w:val="003C2261"/>
    <w:rsid w:val="003E21F1"/>
    <w:rsid w:val="003E24DD"/>
    <w:rsid w:val="003E4741"/>
    <w:rsid w:val="003F028D"/>
    <w:rsid w:val="003F04E2"/>
    <w:rsid w:val="003F245B"/>
    <w:rsid w:val="003F5654"/>
    <w:rsid w:val="003F7485"/>
    <w:rsid w:val="00410C05"/>
    <w:rsid w:val="00414762"/>
    <w:rsid w:val="00421EE2"/>
    <w:rsid w:val="00427DCF"/>
    <w:rsid w:val="004327F0"/>
    <w:rsid w:val="00435C1C"/>
    <w:rsid w:val="0044051C"/>
    <w:rsid w:val="004412E3"/>
    <w:rsid w:val="004510AD"/>
    <w:rsid w:val="004539B5"/>
    <w:rsid w:val="0045548B"/>
    <w:rsid w:val="004612AA"/>
    <w:rsid w:val="00462C6C"/>
    <w:rsid w:val="00465892"/>
    <w:rsid w:val="00476EDC"/>
    <w:rsid w:val="004771F8"/>
    <w:rsid w:val="00477489"/>
    <w:rsid w:val="00480055"/>
    <w:rsid w:val="00480579"/>
    <w:rsid w:val="00493813"/>
    <w:rsid w:val="00494058"/>
    <w:rsid w:val="004A1703"/>
    <w:rsid w:val="004A2C25"/>
    <w:rsid w:val="004A50BF"/>
    <w:rsid w:val="004A61AF"/>
    <w:rsid w:val="004A723D"/>
    <w:rsid w:val="004B175A"/>
    <w:rsid w:val="004B2DC7"/>
    <w:rsid w:val="004C0324"/>
    <w:rsid w:val="004C318D"/>
    <w:rsid w:val="004C5E56"/>
    <w:rsid w:val="004D0D84"/>
    <w:rsid w:val="004D217C"/>
    <w:rsid w:val="004D2540"/>
    <w:rsid w:val="004D35D5"/>
    <w:rsid w:val="004E2B0E"/>
    <w:rsid w:val="004E3D76"/>
    <w:rsid w:val="004E6C1C"/>
    <w:rsid w:val="004E701E"/>
    <w:rsid w:val="004F18D6"/>
    <w:rsid w:val="004F1D4B"/>
    <w:rsid w:val="004F20DE"/>
    <w:rsid w:val="004F33D8"/>
    <w:rsid w:val="004F439F"/>
    <w:rsid w:val="004F532B"/>
    <w:rsid w:val="004F7132"/>
    <w:rsid w:val="004F7541"/>
    <w:rsid w:val="00501561"/>
    <w:rsid w:val="00502335"/>
    <w:rsid w:val="005069DB"/>
    <w:rsid w:val="005071E0"/>
    <w:rsid w:val="005072FA"/>
    <w:rsid w:val="0051094D"/>
    <w:rsid w:val="00510977"/>
    <w:rsid w:val="00510E6F"/>
    <w:rsid w:val="0051592C"/>
    <w:rsid w:val="00516991"/>
    <w:rsid w:val="00521B1D"/>
    <w:rsid w:val="00524284"/>
    <w:rsid w:val="00526A7B"/>
    <w:rsid w:val="00526C1F"/>
    <w:rsid w:val="00530D11"/>
    <w:rsid w:val="00533C4F"/>
    <w:rsid w:val="005414F0"/>
    <w:rsid w:val="0054293E"/>
    <w:rsid w:val="00550090"/>
    <w:rsid w:val="005500C7"/>
    <w:rsid w:val="0055181F"/>
    <w:rsid w:val="00552EAD"/>
    <w:rsid w:val="0055684C"/>
    <w:rsid w:val="00566949"/>
    <w:rsid w:val="005672CD"/>
    <w:rsid w:val="0058577E"/>
    <w:rsid w:val="005A1EA6"/>
    <w:rsid w:val="005A6290"/>
    <w:rsid w:val="005A724F"/>
    <w:rsid w:val="005A7BD8"/>
    <w:rsid w:val="005A7EB5"/>
    <w:rsid w:val="005B0657"/>
    <w:rsid w:val="005B1870"/>
    <w:rsid w:val="005B1AC7"/>
    <w:rsid w:val="005B5331"/>
    <w:rsid w:val="005C17AB"/>
    <w:rsid w:val="005C205A"/>
    <w:rsid w:val="005C38EF"/>
    <w:rsid w:val="005C51C8"/>
    <w:rsid w:val="005D0A5D"/>
    <w:rsid w:val="005D2587"/>
    <w:rsid w:val="005D630D"/>
    <w:rsid w:val="005D78D8"/>
    <w:rsid w:val="005D7AC3"/>
    <w:rsid w:val="005E0134"/>
    <w:rsid w:val="005E1859"/>
    <w:rsid w:val="005E1D72"/>
    <w:rsid w:val="005E2CDC"/>
    <w:rsid w:val="005F0905"/>
    <w:rsid w:val="005F4C17"/>
    <w:rsid w:val="00605AEC"/>
    <w:rsid w:val="00607CB3"/>
    <w:rsid w:val="00612033"/>
    <w:rsid w:val="00612318"/>
    <w:rsid w:val="00612929"/>
    <w:rsid w:val="00614636"/>
    <w:rsid w:val="00615480"/>
    <w:rsid w:val="00620F13"/>
    <w:rsid w:val="00621E61"/>
    <w:rsid w:val="006226E1"/>
    <w:rsid w:val="00624B6B"/>
    <w:rsid w:val="00625A93"/>
    <w:rsid w:val="00626D4C"/>
    <w:rsid w:val="006300A2"/>
    <w:rsid w:val="00630844"/>
    <w:rsid w:val="00630941"/>
    <w:rsid w:val="00631F79"/>
    <w:rsid w:val="00633072"/>
    <w:rsid w:val="00640CDF"/>
    <w:rsid w:val="00641A49"/>
    <w:rsid w:val="00646D48"/>
    <w:rsid w:val="006476D8"/>
    <w:rsid w:val="006507B6"/>
    <w:rsid w:val="0065351D"/>
    <w:rsid w:val="006541C8"/>
    <w:rsid w:val="006571B5"/>
    <w:rsid w:val="00671B21"/>
    <w:rsid w:val="006721A4"/>
    <w:rsid w:val="006728AE"/>
    <w:rsid w:val="00672EE5"/>
    <w:rsid w:val="006731B7"/>
    <w:rsid w:val="00673A35"/>
    <w:rsid w:val="006748EF"/>
    <w:rsid w:val="00674AF7"/>
    <w:rsid w:val="00674E2C"/>
    <w:rsid w:val="00676B43"/>
    <w:rsid w:val="00685F42"/>
    <w:rsid w:val="00686EB4"/>
    <w:rsid w:val="006A0B79"/>
    <w:rsid w:val="006A3550"/>
    <w:rsid w:val="006B136B"/>
    <w:rsid w:val="006B23FF"/>
    <w:rsid w:val="006B5322"/>
    <w:rsid w:val="006C3124"/>
    <w:rsid w:val="006C3A4B"/>
    <w:rsid w:val="006D22E9"/>
    <w:rsid w:val="006D5A80"/>
    <w:rsid w:val="006D5F8F"/>
    <w:rsid w:val="006D7E89"/>
    <w:rsid w:val="006E1B6D"/>
    <w:rsid w:val="006E4E8B"/>
    <w:rsid w:val="006E5218"/>
    <w:rsid w:val="006E75CD"/>
    <w:rsid w:val="0070093C"/>
    <w:rsid w:val="0070147D"/>
    <w:rsid w:val="00706368"/>
    <w:rsid w:val="00711247"/>
    <w:rsid w:val="0071442B"/>
    <w:rsid w:val="00714C20"/>
    <w:rsid w:val="00715084"/>
    <w:rsid w:val="00716E1C"/>
    <w:rsid w:val="00723FD7"/>
    <w:rsid w:val="00724C6E"/>
    <w:rsid w:val="00724F86"/>
    <w:rsid w:val="007254CC"/>
    <w:rsid w:val="00726F5D"/>
    <w:rsid w:val="00727C6B"/>
    <w:rsid w:val="0074393A"/>
    <w:rsid w:val="00746440"/>
    <w:rsid w:val="007465FC"/>
    <w:rsid w:val="007478D5"/>
    <w:rsid w:val="00751C65"/>
    <w:rsid w:val="007545B3"/>
    <w:rsid w:val="007600BF"/>
    <w:rsid w:val="00761505"/>
    <w:rsid w:val="007650B8"/>
    <w:rsid w:val="00774F22"/>
    <w:rsid w:val="007801AB"/>
    <w:rsid w:val="007807B9"/>
    <w:rsid w:val="00781C9F"/>
    <w:rsid w:val="00785981"/>
    <w:rsid w:val="00792071"/>
    <w:rsid w:val="00793DB2"/>
    <w:rsid w:val="007A3790"/>
    <w:rsid w:val="007A52E7"/>
    <w:rsid w:val="007A57D9"/>
    <w:rsid w:val="007B06F5"/>
    <w:rsid w:val="007B0938"/>
    <w:rsid w:val="007B0B6A"/>
    <w:rsid w:val="007C57E2"/>
    <w:rsid w:val="007C65B9"/>
    <w:rsid w:val="007D10C5"/>
    <w:rsid w:val="007D4867"/>
    <w:rsid w:val="007E4BA9"/>
    <w:rsid w:val="007F1497"/>
    <w:rsid w:val="007F1EFA"/>
    <w:rsid w:val="007F5878"/>
    <w:rsid w:val="007F5B8F"/>
    <w:rsid w:val="008036B6"/>
    <w:rsid w:val="00807CEA"/>
    <w:rsid w:val="008117BF"/>
    <w:rsid w:val="00812E82"/>
    <w:rsid w:val="00820D09"/>
    <w:rsid w:val="00823094"/>
    <w:rsid w:val="00823F1B"/>
    <w:rsid w:val="00835A16"/>
    <w:rsid w:val="00844EA8"/>
    <w:rsid w:val="0085043C"/>
    <w:rsid w:val="008629C4"/>
    <w:rsid w:val="00862A0E"/>
    <w:rsid w:val="0086367D"/>
    <w:rsid w:val="00864917"/>
    <w:rsid w:val="00865F1A"/>
    <w:rsid w:val="00866E5C"/>
    <w:rsid w:val="008701AF"/>
    <w:rsid w:val="00881319"/>
    <w:rsid w:val="00890A51"/>
    <w:rsid w:val="0089115D"/>
    <w:rsid w:val="00891946"/>
    <w:rsid w:val="00893C49"/>
    <w:rsid w:val="008A5EDF"/>
    <w:rsid w:val="008B1E58"/>
    <w:rsid w:val="008B47D8"/>
    <w:rsid w:val="008B560D"/>
    <w:rsid w:val="008C1850"/>
    <w:rsid w:val="008C1F99"/>
    <w:rsid w:val="008C21F5"/>
    <w:rsid w:val="008C4D2F"/>
    <w:rsid w:val="008C7080"/>
    <w:rsid w:val="008C7451"/>
    <w:rsid w:val="008D05CC"/>
    <w:rsid w:val="008D2867"/>
    <w:rsid w:val="008D4D21"/>
    <w:rsid w:val="008D4F05"/>
    <w:rsid w:val="008D6DD1"/>
    <w:rsid w:val="008D7763"/>
    <w:rsid w:val="008E2A23"/>
    <w:rsid w:val="008E5035"/>
    <w:rsid w:val="008F51FA"/>
    <w:rsid w:val="008F701A"/>
    <w:rsid w:val="009054EE"/>
    <w:rsid w:val="00907AC6"/>
    <w:rsid w:val="00917237"/>
    <w:rsid w:val="009177E3"/>
    <w:rsid w:val="00921B0F"/>
    <w:rsid w:val="00923B98"/>
    <w:rsid w:val="00924F8A"/>
    <w:rsid w:val="00925C5A"/>
    <w:rsid w:val="00931053"/>
    <w:rsid w:val="00936090"/>
    <w:rsid w:val="00936445"/>
    <w:rsid w:val="009377B7"/>
    <w:rsid w:val="00944A58"/>
    <w:rsid w:val="00947753"/>
    <w:rsid w:val="00947AA0"/>
    <w:rsid w:val="00950DA5"/>
    <w:rsid w:val="00951062"/>
    <w:rsid w:val="0095168C"/>
    <w:rsid w:val="00957E5F"/>
    <w:rsid w:val="0096023D"/>
    <w:rsid w:val="0097130C"/>
    <w:rsid w:val="00972411"/>
    <w:rsid w:val="0097569E"/>
    <w:rsid w:val="00983BE8"/>
    <w:rsid w:val="00994959"/>
    <w:rsid w:val="009A0E18"/>
    <w:rsid w:val="009A12E5"/>
    <w:rsid w:val="009A24BA"/>
    <w:rsid w:val="009A508B"/>
    <w:rsid w:val="009A6507"/>
    <w:rsid w:val="009A7586"/>
    <w:rsid w:val="009A7D93"/>
    <w:rsid w:val="009B1082"/>
    <w:rsid w:val="009B1108"/>
    <w:rsid w:val="009B199B"/>
    <w:rsid w:val="009B20C6"/>
    <w:rsid w:val="009B3A59"/>
    <w:rsid w:val="009B4EA3"/>
    <w:rsid w:val="009B68C0"/>
    <w:rsid w:val="009C0D17"/>
    <w:rsid w:val="009C2D13"/>
    <w:rsid w:val="009C44AA"/>
    <w:rsid w:val="009C583A"/>
    <w:rsid w:val="009C5ADB"/>
    <w:rsid w:val="009C711D"/>
    <w:rsid w:val="009D2B12"/>
    <w:rsid w:val="009E0F86"/>
    <w:rsid w:val="009E59E1"/>
    <w:rsid w:val="009F31F2"/>
    <w:rsid w:val="009F3259"/>
    <w:rsid w:val="00A011BF"/>
    <w:rsid w:val="00A01A60"/>
    <w:rsid w:val="00A03299"/>
    <w:rsid w:val="00A03AC9"/>
    <w:rsid w:val="00A06D59"/>
    <w:rsid w:val="00A07727"/>
    <w:rsid w:val="00A15AFF"/>
    <w:rsid w:val="00A243FF"/>
    <w:rsid w:val="00A24FD3"/>
    <w:rsid w:val="00A2736D"/>
    <w:rsid w:val="00A365EF"/>
    <w:rsid w:val="00A40B34"/>
    <w:rsid w:val="00A41B28"/>
    <w:rsid w:val="00A42EE3"/>
    <w:rsid w:val="00A44EE0"/>
    <w:rsid w:val="00A5117A"/>
    <w:rsid w:val="00A52525"/>
    <w:rsid w:val="00A56F01"/>
    <w:rsid w:val="00A56F8C"/>
    <w:rsid w:val="00A60901"/>
    <w:rsid w:val="00A61473"/>
    <w:rsid w:val="00A616B3"/>
    <w:rsid w:val="00A61E51"/>
    <w:rsid w:val="00A673C5"/>
    <w:rsid w:val="00A706D8"/>
    <w:rsid w:val="00A714A2"/>
    <w:rsid w:val="00A7477C"/>
    <w:rsid w:val="00A853C4"/>
    <w:rsid w:val="00A8563A"/>
    <w:rsid w:val="00A857D1"/>
    <w:rsid w:val="00A91E24"/>
    <w:rsid w:val="00A92615"/>
    <w:rsid w:val="00A936D2"/>
    <w:rsid w:val="00A9715E"/>
    <w:rsid w:val="00AA130C"/>
    <w:rsid w:val="00AA336F"/>
    <w:rsid w:val="00AA3815"/>
    <w:rsid w:val="00AB338C"/>
    <w:rsid w:val="00AB55A8"/>
    <w:rsid w:val="00AB75C8"/>
    <w:rsid w:val="00AC1B52"/>
    <w:rsid w:val="00AC23D6"/>
    <w:rsid w:val="00AC3E34"/>
    <w:rsid w:val="00AC7388"/>
    <w:rsid w:val="00AD3BF0"/>
    <w:rsid w:val="00AD3E79"/>
    <w:rsid w:val="00AD677C"/>
    <w:rsid w:val="00AE3346"/>
    <w:rsid w:val="00AF0B68"/>
    <w:rsid w:val="00AF6FA5"/>
    <w:rsid w:val="00B0436A"/>
    <w:rsid w:val="00B10888"/>
    <w:rsid w:val="00B11761"/>
    <w:rsid w:val="00B12CD4"/>
    <w:rsid w:val="00B14A34"/>
    <w:rsid w:val="00B15AF7"/>
    <w:rsid w:val="00B21307"/>
    <w:rsid w:val="00B2260A"/>
    <w:rsid w:val="00B22A7A"/>
    <w:rsid w:val="00B305EA"/>
    <w:rsid w:val="00B40F79"/>
    <w:rsid w:val="00B41856"/>
    <w:rsid w:val="00B4209B"/>
    <w:rsid w:val="00B45AC2"/>
    <w:rsid w:val="00B50CE6"/>
    <w:rsid w:val="00B52F66"/>
    <w:rsid w:val="00B6210C"/>
    <w:rsid w:val="00B6273A"/>
    <w:rsid w:val="00B63985"/>
    <w:rsid w:val="00B63E1A"/>
    <w:rsid w:val="00B65135"/>
    <w:rsid w:val="00B66F3A"/>
    <w:rsid w:val="00B67003"/>
    <w:rsid w:val="00B71B9A"/>
    <w:rsid w:val="00B71CD9"/>
    <w:rsid w:val="00B77000"/>
    <w:rsid w:val="00B77255"/>
    <w:rsid w:val="00B800F5"/>
    <w:rsid w:val="00B837BD"/>
    <w:rsid w:val="00B87949"/>
    <w:rsid w:val="00B879F5"/>
    <w:rsid w:val="00B91759"/>
    <w:rsid w:val="00B93520"/>
    <w:rsid w:val="00B97FD3"/>
    <w:rsid w:val="00BA045C"/>
    <w:rsid w:val="00BA0ECE"/>
    <w:rsid w:val="00BA1712"/>
    <w:rsid w:val="00BA1BFE"/>
    <w:rsid w:val="00BA4A3E"/>
    <w:rsid w:val="00BA5378"/>
    <w:rsid w:val="00BB1386"/>
    <w:rsid w:val="00BB2D75"/>
    <w:rsid w:val="00BC1839"/>
    <w:rsid w:val="00BC1DE9"/>
    <w:rsid w:val="00BC28B9"/>
    <w:rsid w:val="00BC348A"/>
    <w:rsid w:val="00BC52D5"/>
    <w:rsid w:val="00BC6353"/>
    <w:rsid w:val="00BD0368"/>
    <w:rsid w:val="00BD0F09"/>
    <w:rsid w:val="00BD3519"/>
    <w:rsid w:val="00BD6EAF"/>
    <w:rsid w:val="00BE03A8"/>
    <w:rsid w:val="00BE2E1A"/>
    <w:rsid w:val="00BE7E39"/>
    <w:rsid w:val="00C01C50"/>
    <w:rsid w:val="00C03067"/>
    <w:rsid w:val="00C03361"/>
    <w:rsid w:val="00C0539F"/>
    <w:rsid w:val="00C057EF"/>
    <w:rsid w:val="00C10D0D"/>
    <w:rsid w:val="00C12113"/>
    <w:rsid w:val="00C12121"/>
    <w:rsid w:val="00C14340"/>
    <w:rsid w:val="00C15F1B"/>
    <w:rsid w:val="00C200FD"/>
    <w:rsid w:val="00C21762"/>
    <w:rsid w:val="00C22EE6"/>
    <w:rsid w:val="00C26D20"/>
    <w:rsid w:val="00C270EF"/>
    <w:rsid w:val="00C3610E"/>
    <w:rsid w:val="00C377D6"/>
    <w:rsid w:val="00C37A1F"/>
    <w:rsid w:val="00C4477F"/>
    <w:rsid w:val="00C503C4"/>
    <w:rsid w:val="00C51E31"/>
    <w:rsid w:val="00C53552"/>
    <w:rsid w:val="00C57E00"/>
    <w:rsid w:val="00C61DC3"/>
    <w:rsid w:val="00C72CDE"/>
    <w:rsid w:val="00C743BA"/>
    <w:rsid w:val="00C761AF"/>
    <w:rsid w:val="00C7722C"/>
    <w:rsid w:val="00C86E7A"/>
    <w:rsid w:val="00C90E74"/>
    <w:rsid w:val="00C9194D"/>
    <w:rsid w:val="00C91C83"/>
    <w:rsid w:val="00CA14A7"/>
    <w:rsid w:val="00CA1720"/>
    <w:rsid w:val="00CA37F5"/>
    <w:rsid w:val="00CA4EB0"/>
    <w:rsid w:val="00CA79B5"/>
    <w:rsid w:val="00CB0A79"/>
    <w:rsid w:val="00CB3252"/>
    <w:rsid w:val="00CB3462"/>
    <w:rsid w:val="00CB704A"/>
    <w:rsid w:val="00CB763D"/>
    <w:rsid w:val="00CB7648"/>
    <w:rsid w:val="00CC3D0B"/>
    <w:rsid w:val="00CC607B"/>
    <w:rsid w:val="00CC72D9"/>
    <w:rsid w:val="00CD348B"/>
    <w:rsid w:val="00CD726C"/>
    <w:rsid w:val="00CE6834"/>
    <w:rsid w:val="00CE6866"/>
    <w:rsid w:val="00CF02CC"/>
    <w:rsid w:val="00CF2DC2"/>
    <w:rsid w:val="00CF425A"/>
    <w:rsid w:val="00D017B9"/>
    <w:rsid w:val="00D043B0"/>
    <w:rsid w:val="00D10D3F"/>
    <w:rsid w:val="00D13AAF"/>
    <w:rsid w:val="00D20520"/>
    <w:rsid w:val="00D20D48"/>
    <w:rsid w:val="00D25666"/>
    <w:rsid w:val="00D27D59"/>
    <w:rsid w:val="00D30B4A"/>
    <w:rsid w:val="00D34BE3"/>
    <w:rsid w:val="00D41D64"/>
    <w:rsid w:val="00D51633"/>
    <w:rsid w:val="00D55E85"/>
    <w:rsid w:val="00D560B0"/>
    <w:rsid w:val="00D56AA6"/>
    <w:rsid w:val="00D56BB2"/>
    <w:rsid w:val="00D613B3"/>
    <w:rsid w:val="00D639CE"/>
    <w:rsid w:val="00D64161"/>
    <w:rsid w:val="00D65B7E"/>
    <w:rsid w:val="00D661F4"/>
    <w:rsid w:val="00D75B1E"/>
    <w:rsid w:val="00D76AAA"/>
    <w:rsid w:val="00D822F7"/>
    <w:rsid w:val="00D86B55"/>
    <w:rsid w:val="00D92605"/>
    <w:rsid w:val="00D9772C"/>
    <w:rsid w:val="00DA1D8D"/>
    <w:rsid w:val="00DA4774"/>
    <w:rsid w:val="00DA72EA"/>
    <w:rsid w:val="00DB01E5"/>
    <w:rsid w:val="00DB02B0"/>
    <w:rsid w:val="00DB5B7C"/>
    <w:rsid w:val="00DB5CF5"/>
    <w:rsid w:val="00DC1AF1"/>
    <w:rsid w:val="00DD0758"/>
    <w:rsid w:val="00DD3EF6"/>
    <w:rsid w:val="00DD761D"/>
    <w:rsid w:val="00DE4F17"/>
    <w:rsid w:val="00DF190D"/>
    <w:rsid w:val="00DF3B4E"/>
    <w:rsid w:val="00E009D2"/>
    <w:rsid w:val="00E00BA3"/>
    <w:rsid w:val="00E02C54"/>
    <w:rsid w:val="00E06D04"/>
    <w:rsid w:val="00E074E3"/>
    <w:rsid w:val="00E10A6A"/>
    <w:rsid w:val="00E123BB"/>
    <w:rsid w:val="00E1274E"/>
    <w:rsid w:val="00E21336"/>
    <w:rsid w:val="00E30D7F"/>
    <w:rsid w:val="00E3321B"/>
    <w:rsid w:val="00E33248"/>
    <w:rsid w:val="00E336D6"/>
    <w:rsid w:val="00E405A2"/>
    <w:rsid w:val="00E435F5"/>
    <w:rsid w:val="00E4393C"/>
    <w:rsid w:val="00E621EC"/>
    <w:rsid w:val="00E666FD"/>
    <w:rsid w:val="00E67057"/>
    <w:rsid w:val="00E711BF"/>
    <w:rsid w:val="00E71B14"/>
    <w:rsid w:val="00E72152"/>
    <w:rsid w:val="00E7245B"/>
    <w:rsid w:val="00E74C9C"/>
    <w:rsid w:val="00E75E83"/>
    <w:rsid w:val="00E803AD"/>
    <w:rsid w:val="00E81B2B"/>
    <w:rsid w:val="00E86D2A"/>
    <w:rsid w:val="00E87810"/>
    <w:rsid w:val="00E90D16"/>
    <w:rsid w:val="00E94C87"/>
    <w:rsid w:val="00E974E4"/>
    <w:rsid w:val="00EA54F5"/>
    <w:rsid w:val="00EA7BCE"/>
    <w:rsid w:val="00EB4DB3"/>
    <w:rsid w:val="00EB676C"/>
    <w:rsid w:val="00EB7443"/>
    <w:rsid w:val="00EC71FA"/>
    <w:rsid w:val="00EC7E3E"/>
    <w:rsid w:val="00ED138E"/>
    <w:rsid w:val="00ED202D"/>
    <w:rsid w:val="00ED2C33"/>
    <w:rsid w:val="00ED3B1C"/>
    <w:rsid w:val="00ED48F9"/>
    <w:rsid w:val="00ED566B"/>
    <w:rsid w:val="00ED5F09"/>
    <w:rsid w:val="00ED73FE"/>
    <w:rsid w:val="00EE3B74"/>
    <w:rsid w:val="00EE49A7"/>
    <w:rsid w:val="00EF145D"/>
    <w:rsid w:val="00EF3B4C"/>
    <w:rsid w:val="00EF7999"/>
    <w:rsid w:val="00F06D54"/>
    <w:rsid w:val="00F11E57"/>
    <w:rsid w:val="00F1659D"/>
    <w:rsid w:val="00F2070E"/>
    <w:rsid w:val="00F20ABE"/>
    <w:rsid w:val="00F21B91"/>
    <w:rsid w:val="00F21CA6"/>
    <w:rsid w:val="00F21D27"/>
    <w:rsid w:val="00F22D03"/>
    <w:rsid w:val="00F22E15"/>
    <w:rsid w:val="00F3157D"/>
    <w:rsid w:val="00F33C23"/>
    <w:rsid w:val="00F33C8F"/>
    <w:rsid w:val="00F36751"/>
    <w:rsid w:val="00F36C46"/>
    <w:rsid w:val="00F42488"/>
    <w:rsid w:val="00F42EC2"/>
    <w:rsid w:val="00F50694"/>
    <w:rsid w:val="00F53655"/>
    <w:rsid w:val="00F609E4"/>
    <w:rsid w:val="00F612BA"/>
    <w:rsid w:val="00F629DC"/>
    <w:rsid w:val="00F63205"/>
    <w:rsid w:val="00F65567"/>
    <w:rsid w:val="00F655BF"/>
    <w:rsid w:val="00F6799C"/>
    <w:rsid w:val="00F82FC8"/>
    <w:rsid w:val="00F86318"/>
    <w:rsid w:val="00F9024C"/>
    <w:rsid w:val="00F90DB5"/>
    <w:rsid w:val="00F90E28"/>
    <w:rsid w:val="00F90FDE"/>
    <w:rsid w:val="00F93402"/>
    <w:rsid w:val="00F96208"/>
    <w:rsid w:val="00F96AF3"/>
    <w:rsid w:val="00F979F8"/>
    <w:rsid w:val="00FA0761"/>
    <w:rsid w:val="00FB23CF"/>
    <w:rsid w:val="00FB36FA"/>
    <w:rsid w:val="00FB3BFB"/>
    <w:rsid w:val="00FB3DF0"/>
    <w:rsid w:val="00FB5FD2"/>
    <w:rsid w:val="00FB5FE3"/>
    <w:rsid w:val="00FC43A3"/>
    <w:rsid w:val="00FC49FF"/>
    <w:rsid w:val="00FC6DAD"/>
    <w:rsid w:val="00FD08E5"/>
    <w:rsid w:val="00FD0E9E"/>
    <w:rsid w:val="00FD3AB5"/>
    <w:rsid w:val="00FE06E2"/>
    <w:rsid w:val="00FE17EF"/>
    <w:rsid w:val="00FE26BB"/>
    <w:rsid w:val="00FE2912"/>
    <w:rsid w:val="00FE479E"/>
    <w:rsid w:val="00FE7858"/>
    <w:rsid w:val="00FF206E"/>
    <w:rsid w:val="00FF3804"/>
    <w:rsid w:val="00FF7F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Office_Excel_Worksheet16.xlsx"/><Relationship Id="rId1" Type="http://schemas.openxmlformats.org/officeDocument/2006/relationships/themeOverride" Target="../theme/themeOverride1.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Office_Excel_Worksheet17.xlsx"/><Relationship Id="rId1" Type="http://schemas.openxmlformats.org/officeDocument/2006/relationships/themeOverride" Target="../theme/themeOverride2.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Office_Excel_Worksheet18.xlsx"/><Relationship Id="rId1" Type="http://schemas.openxmlformats.org/officeDocument/2006/relationships/themeOverride" Target="../theme/themeOverride3.xml"/></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Office_Excel_Worksheet19.xlsx"/><Relationship Id="rId1" Type="http://schemas.openxmlformats.org/officeDocument/2006/relationships/themeOverride" Target="../theme/themeOverride4.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Office_Excel_Worksheet20.xlsx"/><Relationship Id="rId1" Type="http://schemas.openxmlformats.org/officeDocument/2006/relationships/themeOverride" Target="../theme/themeOverride5.xml"/></Relationships>
</file>

<file path=word/charts/_rels/chart21.xml.rels><?xml version="1.0" encoding="UTF-8" standalone="yes"?>
<Relationships xmlns="http://schemas.openxmlformats.org/package/2006/relationships"><Relationship Id="rId2" Type="http://schemas.openxmlformats.org/officeDocument/2006/relationships/package" Target="../embeddings/Microsoft_Office_Excel_Worksheet21.xlsx"/><Relationship Id="rId1" Type="http://schemas.openxmlformats.org/officeDocument/2006/relationships/themeOverride" Target="../theme/themeOverride6.xml"/></Relationships>
</file>

<file path=word/charts/_rels/chart22.xml.rels><?xml version="1.0" encoding="UTF-8" standalone="yes"?>
<Relationships xmlns="http://schemas.openxmlformats.org/package/2006/relationships"><Relationship Id="rId2" Type="http://schemas.openxmlformats.org/officeDocument/2006/relationships/package" Target="../embeddings/Microsoft_Office_Excel_Worksheet22.xlsx"/><Relationship Id="rId1" Type="http://schemas.openxmlformats.org/officeDocument/2006/relationships/themeOverride" Target="../theme/themeOverride7.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9381443298969891"/>
          <c:y val="3.64741641337386E-2"/>
          <c:w val="0.78762886597938164"/>
          <c:h val="0.66869300911859686"/>
        </c:manualLayout>
      </c:layout>
      <c:lineChart>
        <c:grouping val="standard"/>
        <c:ser>
          <c:idx val="0"/>
          <c:order val="0"/>
          <c:tx>
            <c:strRef>
              <c:f>Sheet1!$B$57</c:f>
              <c:strCache>
                <c:ptCount val="1"/>
                <c:pt idx="0">
                  <c:v>الاراضي الفلسطينية</c:v>
                </c:pt>
              </c:strCache>
            </c:strRef>
          </c:tx>
          <c:spPr>
            <a:ln>
              <a:prstDash val="sysDot"/>
            </a:ln>
          </c:spPr>
          <c:marker>
            <c:symbol val="none"/>
          </c:marker>
          <c:dLbls>
            <c:dLbl>
              <c:idx val="0"/>
              <c:layout>
                <c:manualLayout>
                  <c:x val="-5.6565656565656555E-2"/>
                  <c:y val="1.179941002949852E-2"/>
                </c:manualLayout>
              </c:layout>
              <c:showVal val="1"/>
            </c:dLbl>
            <c:dLbl>
              <c:idx val="7"/>
              <c:layout>
                <c:manualLayout>
                  <c:x val="-3.5016835016835092E-2"/>
                  <c:y val="-3.9331366764996545E-2"/>
                </c:manualLayout>
              </c:layout>
              <c:showVal val="1"/>
            </c:dLbl>
            <c:delete val="1"/>
          </c:dLbls>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Sheet1!$B$58:$B$65</c:f>
              <c:numCache>
                <c:formatCode>#,##0.0</c:formatCode>
                <c:ptCount val="8"/>
                <c:pt idx="0">
                  <c:v>4198.4000000000005</c:v>
                </c:pt>
                <c:pt idx="1">
                  <c:v>4559.5</c:v>
                </c:pt>
                <c:pt idx="2">
                  <c:v>4322.2999999999993</c:v>
                </c:pt>
                <c:pt idx="3">
                  <c:v>4554.1000000000004</c:v>
                </c:pt>
                <c:pt idx="4">
                  <c:v>4878.2999999999993</c:v>
                </c:pt>
                <c:pt idx="5">
                  <c:v>5239.3</c:v>
                </c:pt>
                <c:pt idx="6">
                  <c:v>5754.3</c:v>
                </c:pt>
                <c:pt idx="7">
                  <c:v>6323</c:v>
                </c:pt>
              </c:numCache>
            </c:numRef>
          </c:val>
        </c:ser>
        <c:ser>
          <c:idx val="1"/>
          <c:order val="1"/>
          <c:tx>
            <c:strRef>
              <c:f>Sheet1!$C$57</c:f>
              <c:strCache>
                <c:ptCount val="1"/>
                <c:pt idx="0">
                  <c:v>الضفة الغربية</c:v>
                </c:pt>
              </c:strCache>
            </c:strRef>
          </c:tx>
          <c:marker>
            <c:symbol val="none"/>
          </c:marker>
          <c:dLbls>
            <c:dLbl>
              <c:idx val="0"/>
              <c:showVal val="1"/>
            </c:dLbl>
            <c:dLbl>
              <c:idx val="7"/>
              <c:layout>
                <c:manualLayout>
                  <c:x val="-5.9259259259259282E-2"/>
                  <c:y val="-7.8662733529993745E-3"/>
                </c:manualLayout>
              </c:layout>
              <c:showVal val="1"/>
            </c:dLbl>
            <c:delete val="1"/>
          </c:dLbls>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Sheet1!$C$58:$C$65</c:f>
              <c:numCache>
                <c:formatCode>#,##0.0</c:formatCode>
                <c:ptCount val="8"/>
                <c:pt idx="0">
                  <c:v>2807.4</c:v>
                </c:pt>
                <c:pt idx="1">
                  <c:v>2876.7</c:v>
                </c:pt>
                <c:pt idx="2">
                  <c:v>2977.7</c:v>
                </c:pt>
                <c:pt idx="3">
                  <c:v>3317.2</c:v>
                </c:pt>
                <c:pt idx="4">
                  <c:v>3716.7</c:v>
                </c:pt>
                <c:pt idx="5">
                  <c:v>3979.6</c:v>
                </c:pt>
                <c:pt idx="6">
                  <c:v>4249.5</c:v>
                </c:pt>
                <c:pt idx="7">
                  <c:v>4472.4000000000005</c:v>
                </c:pt>
              </c:numCache>
            </c:numRef>
          </c:val>
        </c:ser>
        <c:ser>
          <c:idx val="2"/>
          <c:order val="2"/>
          <c:tx>
            <c:strRef>
              <c:f>Sheet1!$D$57</c:f>
              <c:strCache>
                <c:ptCount val="1"/>
                <c:pt idx="0">
                  <c:v>قطاع غزة</c:v>
                </c:pt>
              </c:strCache>
            </c:strRef>
          </c:tx>
          <c:spPr>
            <a:ln>
              <a:prstDash val="dashDot"/>
            </a:ln>
          </c:spPr>
          <c:marker>
            <c:symbol val="none"/>
          </c:marker>
          <c:dLbls>
            <c:dLbl>
              <c:idx val="0"/>
              <c:showVal val="1"/>
            </c:dLbl>
            <c:dLbl>
              <c:idx val="7"/>
              <c:layout>
                <c:manualLayout>
                  <c:x val="-5.6565656565656555E-2"/>
                  <c:y val="-2.7531956735496656E-2"/>
                </c:manualLayout>
              </c:layout>
              <c:showVal val="1"/>
            </c:dLbl>
            <c:delete val="1"/>
          </c:dLbls>
          <c:cat>
            <c:numRef>
              <c:f>Sheet1!$A$58:$A$65</c:f>
              <c:numCache>
                <c:formatCode>General</c:formatCode>
                <c:ptCount val="8"/>
                <c:pt idx="0">
                  <c:v>2004</c:v>
                </c:pt>
                <c:pt idx="1">
                  <c:v>2005</c:v>
                </c:pt>
                <c:pt idx="2">
                  <c:v>2006</c:v>
                </c:pt>
                <c:pt idx="3">
                  <c:v>2007</c:v>
                </c:pt>
                <c:pt idx="4">
                  <c:v>2008</c:v>
                </c:pt>
                <c:pt idx="5">
                  <c:v>2009</c:v>
                </c:pt>
                <c:pt idx="6">
                  <c:v>2010</c:v>
                </c:pt>
                <c:pt idx="7">
                  <c:v>2011</c:v>
                </c:pt>
              </c:numCache>
            </c:numRef>
          </c:cat>
          <c:val>
            <c:numRef>
              <c:f>Sheet1!$D$58:$D$65</c:f>
              <c:numCache>
                <c:formatCode>#,##0.0</c:formatCode>
                <c:ptCount val="8"/>
                <c:pt idx="0">
                  <c:v>1391</c:v>
                </c:pt>
                <c:pt idx="1">
                  <c:v>1682.8</c:v>
                </c:pt>
                <c:pt idx="2">
                  <c:v>1344.6</c:v>
                </c:pt>
                <c:pt idx="3">
                  <c:v>1236.9000000000001</c:v>
                </c:pt>
                <c:pt idx="4">
                  <c:v>1161.5999999999999</c:v>
                </c:pt>
                <c:pt idx="5">
                  <c:v>1259.7</c:v>
                </c:pt>
                <c:pt idx="6">
                  <c:v>1504.8</c:v>
                </c:pt>
                <c:pt idx="7">
                  <c:v>1850.6</c:v>
                </c:pt>
              </c:numCache>
            </c:numRef>
          </c:val>
        </c:ser>
        <c:marker val="1"/>
        <c:axId val="77701888"/>
        <c:axId val="77752960"/>
      </c:lineChart>
      <c:catAx>
        <c:axId val="77701888"/>
        <c:scaling>
          <c:orientation val="minMax"/>
        </c:scaling>
        <c:axPos val="b"/>
        <c:majorGridlines/>
        <c:title>
          <c:tx>
            <c:rich>
              <a:bodyPr/>
              <a:lstStyle/>
              <a:p>
                <a:pPr>
                  <a:defRPr/>
                </a:pPr>
                <a:r>
                  <a:rPr lang="ar-SA"/>
                  <a:t>السنة</a:t>
                </a:r>
              </a:p>
            </c:rich>
          </c:tx>
          <c:layout>
            <c:manualLayout>
              <c:xMode val="edge"/>
              <c:yMode val="edge"/>
              <c:x val="0.55257731958762857"/>
              <c:y val="0.80851063829787262"/>
            </c:manualLayout>
          </c:layout>
        </c:title>
        <c:numFmt formatCode="General" sourceLinked="1"/>
        <c:tickLblPos val="nextTo"/>
        <c:txPr>
          <a:bodyPr rot="0" vert="horz"/>
          <a:lstStyle/>
          <a:p>
            <a:pPr>
              <a:defRPr/>
            </a:pPr>
            <a:endParaRPr lang="ar-SA"/>
          </a:p>
        </c:txPr>
        <c:crossAx val="77752960"/>
        <c:crosses val="autoZero"/>
        <c:auto val="1"/>
        <c:lblAlgn val="ctr"/>
        <c:lblOffset val="100"/>
        <c:tickLblSkip val="1"/>
        <c:tickMarkSkip val="1"/>
      </c:catAx>
      <c:valAx>
        <c:axId val="77752960"/>
        <c:scaling>
          <c:orientation val="minMax"/>
        </c:scaling>
        <c:axPos val="l"/>
        <c:majorGridlines/>
        <c:title>
          <c:tx>
            <c:rich>
              <a:bodyPr/>
              <a:lstStyle/>
              <a:p>
                <a:pPr>
                  <a:defRPr/>
                </a:pPr>
                <a:r>
                  <a:rPr lang="ar-SA"/>
                  <a:t>الناتج المحلي الاجمالي 
  بالمليون دولار</a:t>
                </a:r>
              </a:p>
            </c:rich>
          </c:tx>
          <c:layout>
            <c:manualLayout>
              <c:xMode val="edge"/>
              <c:yMode val="edge"/>
              <c:x val="1.0309278350515922E-2"/>
              <c:y val="0.18541033434651508"/>
            </c:manualLayout>
          </c:layout>
        </c:title>
        <c:numFmt formatCode="#,##0" sourceLinked="0"/>
        <c:tickLblPos val="nextTo"/>
        <c:txPr>
          <a:bodyPr rot="0" vert="horz"/>
          <a:lstStyle/>
          <a:p>
            <a:pPr>
              <a:defRPr/>
            </a:pPr>
            <a:endParaRPr lang="ar-SA"/>
          </a:p>
        </c:txPr>
        <c:crossAx val="77701888"/>
        <c:crosses val="autoZero"/>
        <c:crossBetween val="between"/>
      </c:valAx>
    </c:plotArea>
    <c:legend>
      <c:legendPos val="r"/>
      <c:layout>
        <c:manualLayout>
          <c:xMode val="edge"/>
          <c:yMode val="edge"/>
          <c:x val="4.7187842859134584E-2"/>
          <c:y val="0.87234042553191493"/>
          <c:w val="0.88889478884423456"/>
          <c:h val="8.5106382978724568E-2"/>
        </c:manualLayout>
      </c:layout>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59058E-2"/>
        </c:manualLayout>
      </c:layout>
      <c:spPr>
        <a:noFill/>
        <a:ln w="25399">
          <a:noFill/>
        </a:ln>
      </c:spPr>
    </c:title>
    <c:plotArea>
      <c:layout>
        <c:manualLayout>
          <c:layoutTarget val="inner"/>
          <c:xMode val="edge"/>
          <c:yMode val="edge"/>
          <c:x val="0.20046082949308755"/>
          <c:y val="0.10291003098296926"/>
          <c:w val="0.77880184331801328"/>
          <c:h val="0.574365441161936"/>
        </c:manualLayout>
      </c:layout>
      <c:areaChart>
        <c:grouping val="standard"/>
        <c:ser>
          <c:idx val="0"/>
          <c:order val="0"/>
          <c:tx>
            <c:strRef>
              <c:f>Sheet1!$F$1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layout>
                <c:manualLayout>
                  <c:x val="-3.7483266398930001E-2"/>
                  <c:y val="-0.26492942453854507"/>
                </c:manualLayout>
              </c:layout>
              <c:showVal val="1"/>
            </c:dLbl>
            <c:showVal val="1"/>
          </c:dLbls>
          <c:cat>
            <c:numRef>
              <c:f>Sheet1!$E$2:$E$9</c:f>
              <c:numCache>
                <c:formatCode>General</c:formatCode>
                <c:ptCount val="8"/>
                <c:pt idx="0">
                  <c:v>2004</c:v>
                </c:pt>
                <c:pt idx="1">
                  <c:v>2005</c:v>
                </c:pt>
                <c:pt idx="2">
                  <c:v>2006</c:v>
                </c:pt>
                <c:pt idx="3">
                  <c:v>2007</c:v>
                </c:pt>
                <c:pt idx="4">
                  <c:v>2008</c:v>
                </c:pt>
                <c:pt idx="5">
                  <c:v>2009</c:v>
                </c:pt>
                <c:pt idx="6">
                  <c:v>2010</c:v>
                </c:pt>
                <c:pt idx="7">
                  <c:v>2011</c:v>
                </c:pt>
              </c:numCache>
            </c:numRef>
          </c:cat>
          <c:val>
            <c:numRef>
              <c:f>Sheet1!$F$2:$F$9</c:f>
              <c:numCache>
                <c:formatCode>General</c:formatCode>
                <c:ptCount val="8"/>
                <c:pt idx="0">
                  <c:v>100</c:v>
                </c:pt>
                <c:pt idx="1">
                  <c:v>104.11</c:v>
                </c:pt>
                <c:pt idx="2">
                  <c:v>108.11</c:v>
                </c:pt>
                <c:pt idx="3">
                  <c:v>110.11999999999999</c:v>
                </c:pt>
                <c:pt idx="4">
                  <c:v>121.01</c:v>
                </c:pt>
                <c:pt idx="5">
                  <c:v>124.34</c:v>
                </c:pt>
                <c:pt idx="6">
                  <c:v>128</c:v>
                </c:pt>
                <c:pt idx="7">
                  <c:v>132.69999999999999</c:v>
                </c:pt>
              </c:numCache>
            </c:numRef>
          </c:val>
        </c:ser>
        <c:axId val="77407744"/>
        <c:axId val="77409664"/>
      </c:areaChart>
      <c:catAx>
        <c:axId val="77407744"/>
        <c:scaling>
          <c:orientation val="minMax"/>
        </c:scaling>
        <c:axPos val="b"/>
        <c:title>
          <c:tx>
            <c:rich>
              <a:bodyPr/>
              <a:lstStyle/>
              <a:p>
                <a:pPr>
                  <a:defRPr sz="900" b="1" i="0" u="none" strike="noStrike" baseline="0">
                    <a:solidFill>
                      <a:srgbClr val="000000"/>
                    </a:solidFill>
                    <a:latin typeface="Simplified Arabic"/>
                    <a:ea typeface="Simplified Arabic"/>
                    <a:cs typeface="+mn-cs"/>
                  </a:defRPr>
                </a:pPr>
                <a:r>
                  <a:rPr lang="ar-SA" sz="900">
                    <a:cs typeface="+mn-cs"/>
                  </a:rPr>
                  <a:t>السنة</a:t>
                </a:r>
              </a:p>
            </c:rich>
          </c:tx>
          <c:layout>
            <c:manualLayout>
              <c:xMode val="edge"/>
              <c:yMode val="edge"/>
              <c:x val="0.49147132223227752"/>
              <c:y val="0.86696713415873561"/>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77409664"/>
        <c:crosses val="autoZero"/>
        <c:auto val="1"/>
        <c:lblAlgn val="ctr"/>
        <c:lblOffset val="100"/>
        <c:tickLblSkip val="1"/>
        <c:tickMarkSkip val="1"/>
      </c:catAx>
      <c:valAx>
        <c:axId val="77409664"/>
        <c:scaling>
          <c:orientation val="minMax"/>
          <c:max val="135"/>
          <c:min val="100"/>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Simplified Arabic"/>
                    <a:ea typeface="Simplified Arabic"/>
                    <a:cs typeface="+mn-cs"/>
                  </a:defRPr>
                </a:pPr>
                <a:r>
                  <a:rPr lang="ar-SA" sz="900">
                    <a:cs typeface="+mn-cs"/>
                  </a:rPr>
                  <a:t>الرقم القياسي</a:t>
                </a:r>
              </a:p>
            </c:rich>
          </c:tx>
          <c:layout>
            <c:manualLayout>
              <c:xMode val="edge"/>
              <c:yMode val="edge"/>
              <c:x val="4.8333978744460222E-2"/>
              <c:y val="0.2900759122281433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77407744"/>
        <c:crosses val="autoZero"/>
        <c:crossBetween val="midCat"/>
        <c:majorUnit val="5"/>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defRPr sz="950" b="0" i="0" u="none" strike="noStrike" baseline="0">
          <a:solidFill>
            <a:srgbClr val="000000"/>
          </a:solidFill>
          <a:latin typeface="Simplified Arabic"/>
          <a:ea typeface="Simplified Arabic"/>
          <a:cs typeface="Simplified Arabic"/>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7229729729730764"/>
          <c:y val="0.10687022900763372"/>
          <c:w val="0.7972972972972977"/>
          <c:h val="0.57633587786259965"/>
        </c:manualLayout>
      </c:layout>
      <c:barChart>
        <c:barDir val="col"/>
        <c:grouping val="clustered"/>
        <c:ser>
          <c:idx val="0"/>
          <c:order val="0"/>
          <c:tx>
            <c:strRef>
              <c:f>Sheet2!$A$2</c:f>
              <c:strCache>
                <c:ptCount val="1"/>
                <c:pt idx="0">
                  <c:v>2009</c:v>
                </c:pt>
              </c:strCache>
            </c:strRef>
          </c:tx>
          <c:dLbls>
            <c:showVal val="1"/>
          </c:dLbls>
          <c:cat>
            <c:strRef>
              <c:f>Sheet2!$B$1:$C$1</c:f>
              <c:strCache>
                <c:ptCount val="2"/>
                <c:pt idx="0">
                  <c:v>الفقر </c:v>
                </c:pt>
                <c:pt idx="1">
                  <c:v>الفقر المدقع</c:v>
                </c:pt>
              </c:strCache>
            </c:strRef>
          </c:cat>
          <c:val>
            <c:numRef>
              <c:f>Sheet2!$B$2:$C$2</c:f>
              <c:numCache>
                <c:formatCode>General</c:formatCode>
                <c:ptCount val="2"/>
                <c:pt idx="0">
                  <c:v>19.399999999999999</c:v>
                </c:pt>
                <c:pt idx="1">
                  <c:v>9.1</c:v>
                </c:pt>
              </c:numCache>
            </c:numRef>
          </c:val>
        </c:ser>
        <c:ser>
          <c:idx val="1"/>
          <c:order val="1"/>
          <c:tx>
            <c:strRef>
              <c:f>Sheet2!$A$3</c:f>
              <c:strCache>
                <c:ptCount val="1"/>
                <c:pt idx="0">
                  <c:v>2010</c:v>
                </c:pt>
              </c:strCache>
            </c:strRef>
          </c:tx>
          <c:dLbls>
            <c:showVal val="1"/>
          </c:dLbls>
          <c:cat>
            <c:strRef>
              <c:f>Sheet2!$B$1:$C$1</c:f>
              <c:strCache>
                <c:ptCount val="2"/>
                <c:pt idx="0">
                  <c:v>الفقر </c:v>
                </c:pt>
                <c:pt idx="1">
                  <c:v>الفقر المدقع</c:v>
                </c:pt>
              </c:strCache>
            </c:strRef>
          </c:cat>
          <c:val>
            <c:numRef>
              <c:f>Sheet2!$B$3:$C$3</c:f>
              <c:numCache>
                <c:formatCode>General</c:formatCode>
                <c:ptCount val="2"/>
                <c:pt idx="0">
                  <c:v>18.3</c:v>
                </c:pt>
                <c:pt idx="1">
                  <c:v>8.8000000000000007</c:v>
                </c:pt>
              </c:numCache>
            </c:numRef>
          </c:val>
        </c:ser>
        <c:axId val="111616768"/>
        <c:axId val="111618304"/>
      </c:barChart>
      <c:catAx>
        <c:axId val="111616768"/>
        <c:scaling>
          <c:orientation val="minMax"/>
        </c:scaling>
        <c:axPos val="b"/>
        <c:numFmt formatCode="General" sourceLinked="1"/>
        <c:tickLblPos val="nextTo"/>
        <c:txPr>
          <a:bodyPr rot="0" vert="horz"/>
          <a:lstStyle/>
          <a:p>
            <a:pPr>
              <a:defRPr/>
            </a:pPr>
            <a:endParaRPr lang="ar-SA"/>
          </a:p>
        </c:txPr>
        <c:crossAx val="111618304"/>
        <c:crosses val="autoZero"/>
        <c:auto val="1"/>
        <c:lblAlgn val="ctr"/>
        <c:lblOffset val="100"/>
        <c:tickLblSkip val="1"/>
        <c:tickMarkSkip val="1"/>
      </c:catAx>
      <c:valAx>
        <c:axId val="111618304"/>
        <c:scaling>
          <c:orientation val="minMax"/>
        </c:scaling>
        <c:axPos val="l"/>
        <c:majorGridlines/>
        <c:title>
          <c:tx>
            <c:rich>
              <a:bodyPr/>
              <a:lstStyle/>
              <a:p>
                <a:pPr>
                  <a:defRPr/>
                </a:pPr>
                <a:r>
                  <a:rPr lang="ar-SA"/>
                  <a:t>نسبة الفقر</a:t>
                </a:r>
              </a:p>
            </c:rich>
          </c:tx>
          <c:layout>
            <c:manualLayout>
              <c:xMode val="edge"/>
              <c:yMode val="edge"/>
              <c:x val="1.3513513513513521E-2"/>
              <c:y val="0.3053435114503818"/>
            </c:manualLayout>
          </c:layout>
        </c:title>
        <c:numFmt formatCode="General" sourceLinked="1"/>
        <c:tickLblPos val="nextTo"/>
        <c:txPr>
          <a:bodyPr rot="0" vert="horz"/>
          <a:lstStyle/>
          <a:p>
            <a:pPr>
              <a:defRPr/>
            </a:pPr>
            <a:endParaRPr lang="ar-SA"/>
          </a:p>
        </c:txPr>
        <c:crossAx val="111616768"/>
        <c:crosses val="autoZero"/>
        <c:crossBetween val="between"/>
      </c:valAx>
    </c:plotArea>
    <c:legend>
      <c:legendPos val="r"/>
      <c:layout>
        <c:manualLayout>
          <c:xMode val="edge"/>
          <c:yMode val="edge"/>
          <c:x val="0.31418912424679307"/>
          <c:y val="0.84185998568360854"/>
          <c:w val="0.47635135135135137"/>
          <c:h val="9.160305343511449E-2"/>
        </c:manualLayout>
      </c:layout>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8506493506494195"/>
          <c:y val="0.10810810810810811"/>
          <c:w val="0.78571428571428559"/>
          <c:h val="0.54440154440154442"/>
        </c:manualLayout>
      </c:layout>
      <c:barChart>
        <c:barDir val="col"/>
        <c:grouping val="clustered"/>
        <c:ser>
          <c:idx val="0"/>
          <c:order val="0"/>
          <c:tx>
            <c:strRef>
              <c:f>Sheet2!$A$5</c:f>
              <c:strCache>
                <c:ptCount val="1"/>
                <c:pt idx="0">
                  <c:v>2009</c:v>
                </c:pt>
              </c:strCache>
            </c:strRef>
          </c:tx>
          <c:dLbls>
            <c:showVal val="1"/>
          </c:dLbls>
          <c:cat>
            <c:strRef>
              <c:f>Sheet2!$B$4:$C$4</c:f>
              <c:strCache>
                <c:ptCount val="2"/>
                <c:pt idx="0">
                  <c:v>الفقر</c:v>
                </c:pt>
                <c:pt idx="1">
                  <c:v>الفقر المدقع</c:v>
                </c:pt>
              </c:strCache>
            </c:strRef>
          </c:cat>
          <c:val>
            <c:numRef>
              <c:f>Sheet2!$B$5:$C$5</c:f>
              <c:numCache>
                <c:formatCode>General</c:formatCode>
                <c:ptCount val="2"/>
                <c:pt idx="0">
                  <c:v>38.300000000000004</c:v>
                </c:pt>
                <c:pt idx="1">
                  <c:v>21.9</c:v>
                </c:pt>
              </c:numCache>
            </c:numRef>
          </c:val>
        </c:ser>
        <c:ser>
          <c:idx val="1"/>
          <c:order val="1"/>
          <c:tx>
            <c:strRef>
              <c:f>Sheet2!$A$6</c:f>
              <c:strCache>
                <c:ptCount val="1"/>
                <c:pt idx="0">
                  <c:v>2010</c:v>
                </c:pt>
              </c:strCache>
            </c:strRef>
          </c:tx>
          <c:dLbls>
            <c:numFmt formatCode="0.0" sourceLinked="0"/>
            <c:showVal val="1"/>
          </c:dLbls>
          <c:cat>
            <c:strRef>
              <c:f>Sheet2!$B$4:$C$4</c:f>
              <c:strCache>
                <c:ptCount val="2"/>
                <c:pt idx="0">
                  <c:v>الفقر</c:v>
                </c:pt>
                <c:pt idx="1">
                  <c:v>الفقر المدقع</c:v>
                </c:pt>
              </c:strCache>
            </c:strRef>
          </c:cat>
          <c:val>
            <c:numRef>
              <c:f>Sheet2!$B$6:$C$6</c:f>
              <c:numCache>
                <c:formatCode>General</c:formatCode>
                <c:ptCount val="2"/>
                <c:pt idx="0">
                  <c:v>38</c:v>
                </c:pt>
                <c:pt idx="1">
                  <c:v>23</c:v>
                </c:pt>
              </c:numCache>
            </c:numRef>
          </c:val>
        </c:ser>
        <c:axId val="77467008"/>
        <c:axId val="77497472"/>
      </c:barChart>
      <c:catAx>
        <c:axId val="77467008"/>
        <c:scaling>
          <c:orientation val="minMax"/>
        </c:scaling>
        <c:axPos val="b"/>
        <c:numFmt formatCode="General" sourceLinked="1"/>
        <c:tickLblPos val="nextTo"/>
        <c:txPr>
          <a:bodyPr rot="0" vert="horz"/>
          <a:lstStyle/>
          <a:p>
            <a:pPr>
              <a:defRPr/>
            </a:pPr>
            <a:endParaRPr lang="ar-SA"/>
          </a:p>
        </c:txPr>
        <c:crossAx val="77497472"/>
        <c:crosses val="autoZero"/>
        <c:auto val="1"/>
        <c:lblAlgn val="ctr"/>
        <c:lblOffset val="100"/>
        <c:tickLblSkip val="1"/>
        <c:tickMarkSkip val="1"/>
      </c:catAx>
      <c:valAx>
        <c:axId val="77497472"/>
        <c:scaling>
          <c:orientation val="minMax"/>
        </c:scaling>
        <c:axPos val="l"/>
        <c:majorGridlines/>
        <c:title>
          <c:tx>
            <c:rich>
              <a:bodyPr/>
              <a:lstStyle/>
              <a:p>
                <a:pPr>
                  <a:defRPr/>
                </a:pPr>
                <a:r>
                  <a:rPr lang="ar-SA"/>
                  <a:t>نسبة الفقر</a:t>
                </a:r>
              </a:p>
            </c:rich>
          </c:tx>
          <c:layout>
            <c:manualLayout>
              <c:xMode val="edge"/>
              <c:yMode val="edge"/>
              <c:x val="3.5714285714285712E-2"/>
              <c:y val="0.29343629343629346"/>
            </c:manualLayout>
          </c:layout>
        </c:title>
        <c:numFmt formatCode="General" sourceLinked="1"/>
        <c:tickLblPos val="nextTo"/>
        <c:txPr>
          <a:bodyPr rot="0" vert="horz"/>
          <a:lstStyle/>
          <a:p>
            <a:pPr>
              <a:spcAft>
                <a:spcPts val="600"/>
              </a:spcAft>
              <a:defRPr/>
            </a:pPr>
            <a:endParaRPr lang="ar-SA"/>
          </a:p>
        </c:txPr>
        <c:crossAx val="77467008"/>
        <c:crosses val="autoZero"/>
        <c:crossBetween val="between"/>
      </c:valAx>
    </c:plotArea>
    <c:legend>
      <c:legendPos val="b"/>
      <c:layout>
        <c:manualLayout>
          <c:xMode val="edge"/>
          <c:yMode val="edge"/>
          <c:x val="0.3155534129662364"/>
          <c:y val="0.82895041756144217"/>
          <c:w val="0.41558441558443376"/>
          <c:h val="8.4942084942084953E-2"/>
        </c:manualLayout>
      </c:layout>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839862609766374"/>
          <c:y val="9.2461389694709212E-2"/>
          <c:w val="0.76196234729919265"/>
          <c:h val="0.75638476769352991"/>
        </c:manualLayout>
      </c:layout>
      <c:lineChart>
        <c:grouping val="standard"/>
        <c:ser>
          <c:idx val="0"/>
          <c:order val="0"/>
          <c:tx>
            <c:strRef>
              <c:f>Sheet1!$M$8</c:f>
              <c:strCache>
                <c:ptCount val="1"/>
                <c:pt idx="0">
                  <c:v>تعويضات العاملين</c:v>
                </c:pt>
              </c:strCache>
            </c:strRef>
          </c:tx>
          <c:marker>
            <c:symbol val="none"/>
          </c:marker>
          <c:dLbls>
            <c:dLbl>
              <c:idx val="0"/>
              <c:layout>
                <c:manualLayout>
                  <c:x val="-5.2904453573659076E-2"/>
                  <c:y val="-5.6456818495773956E-2"/>
                </c:manualLayout>
              </c:layout>
              <c:dLblPos val="r"/>
              <c:showVal val="1"/>
            </c:dLbl>
            <c:dLbl>
              <c:idx val="7"/>
              <c:showVal val="1"/>
            </c:dLbl>
            <c:delete val="1"/>
          </c:dLbls>
          <c:cat>
            <c:numRef>
              <c:f>Sheet1!$N$9:$N$16</c:f>
              <c:numCache>
                <c:formatCode>General</c:formatCode>
                <c:ptCount val="8"/>
                <c:pt idx="0">
                  <c:v>2004</c:v>
                </c:pt>
                <c:pt idx="1">
                  <c:v>2005</c:v>
                </c:pt>
                <c:pt idx="2">
                  <c:v>2006</c:v>
                </c:pt>
                <c:pt idx="3">
                  <c:v>2007</c:v>
                </c:pt>
                <c:pt idx="4">
                  <c:v>2008</c:v>
                </c:pt>
                <c:pt idx="5">
                  <c:v>2009</c:v>
                </c:pt>
                <c:pt idx="6">
                  <c:v>2010</c:v>
                </c:pt>
                <c:pt idx="7">
                  <c:v>2011</c:v>
                </c:pt>
              </c:numCache>
            </c:numRef>
          </c:cat>
          <c:val>
            <c:numRef>
              <c:f>Sheet1!$M$9:$M$16</c:f>
              <c:numCache>
                <c:formatCode>#,##0.0</c:formatCode>
                <c:ptCount val="8"/>
                <c:pt idx="0">
                  <c:v>421.4</c:v>
                </c:pt>
                <c:pt idx="1">
                  <c:v>486.7</c:v>
                </c:pt>
                <c:pt idx="2">
                  <c:v>579.20000000000005</c:v>
                </c:pt>
                <c:pt idx="3">
                  <c:v>598.5</c:v>
                </c:pt>
                <c:pt idx="4">
                  <c:v>746.2</c:v>
                </c:pt>
                <c:pt idx="5">
                  <c:v>831.1</c:v>
                </c:pt>
                <c:pt idx="6">
                  <c:v>1077.4000000000001</c:v>
                </c:pt>
                <c:pt idx="7">
                  <c:v>1117.4000000000001</c:v>
                </c:pt>
              </c:numCache>
            </c:numRef>
          </c:val>
        </c:ser>
        <c:marker val="1"/>
        <c:axId val="112100480"/>
        <c:axId val="112102400"/>
      </c:lineChart>
      <c:catAx>
        <c:axId val="112100480"/>
        <c:scaling>
          <c:orientation val="minMax"/>
        </c:scaling>
        <c:axPos val="b"/>
        <c:majorGridlines/>
        <c:title>
          <c:tx>
            <c:rich>
              <a:bodyPr/>
              <a:lstStyle/>
              <a:p>
                <a:pPr>
                  <a:defRPr/>
                </a:pPr>
                <a:r>
                  <a:rPr lang="ar-SA"/>
                  <a:t>السنة</a:t>
                </a:r>
              </a:p>
            </c:rich>
          </c:tx>
          <c:layout>
            <c:manualLayout>
              <c:xMode val="edge"/>
              <c:yMode val="edge"/>
              <c:x val="0.52100839246945985"/>
              <c:y val="0.9342605999753375"/>
            </c:manualLayout>
          </c:layout>
        </c:title>
        <c:numFmt formatCode="General" sourceLinked="1"/>
        <c:tickLblPos val="nextTo"/>
        <c:txPr>
          <a:bodyPr rot="0" vert="horz"/>
          <a:lstStyle/>
          <a:p>
            <a:pPr>
              <a:defRPr/>
            </a:pPr>
            <a:endParaRPr lang="ar-SA"/>
          </a:p>
        </c:txPr>
        <c:crossAx val="112102400"/>
        <c:crosses val="autoZero"/>
        <c:auto val="1"/>
        <c:lblAlgn val="ctr"/>
        <c:lblOffset val="100"/>
        <c:tickLblSkip val="1"/>
        <c:tickMarkSkip val="1"/>
      </c:catAx>
      <c:valAx>
        <c:axId val="112102400"/>
        <c:scaling>
          <c:orientation val="minMax"/>
        </c:scaling>
        <c:axPos val="l"/>
        <c:majorGridlines/>
        <c:title>
          <c:tx>
            <c:rich>
              <a:bodyPr/>
              <a:lstStyle/>
              <a:p>
                <a:pPr>
                  <a:defRPr/>
                </a:pPr>
                <a:r>
                  <a:rPr lang="ar-SA"/>
                  <a:t>تعويضات العاملين بالمليون دولار</a:t>
                </a:r>
              </a:p>
            </c:rich>
          </c:tx>
          <c:layout>
            <c:manualLayout>
              <c:xMode val="edge"/>
              <c:yMode val="edge"/>
              <c:x val="4.4117647058827703E-2"/>
              <c:y val="0.26909090909090932"/>
            </c:manualLayout>
          </c:layout>
        </c:title>
        <c:numFmt formatCode="#,##0.0" sourceLinked="1"/>
        <c:tickLblPos val="nextTo"/>
        <c:txPr>
          <a:bodyPr rot="0" vert="horz"/>
          <a:lstStyle/>
          <a:p>
            <a:pPr>
              <a:defRPr/>
            </a:pPr>
            <a:endParaRPr lang="ar-SA"/>
          </a:p>
        </c:txPr>
        <c:crossAx val="112100480"/>
        <c:crosses val="autoZero"/>
        <c:crossBetween val="between"/>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993492407809121"/>
          <c:y val="6.83453237410072E-2"/>
          <c:w val="0.67895878524945774"/>
          <c:h val="0.6474820143885206"/>
        </c:manualLayout>
      </c:layout>
      <c:barChart>
        <c:barDir val="col"/>
        <c:grouping val="clustered"/>
        <c:ser>
          <c:idx val="0"/>
          <c:order val="0"/>
          <c:tx>
            <c:strRef>
              <c:f>Sheet2!$A$12</c:f>
              <c:strCache>
                <c:ptCount val="1"/>
                <c:pt idx="0">
                  <c:v>التحويلات الجارية المقبوضة</c:v>
                </c:pt>
              </c:strCache>
            </c:strRef>
          </c:tx>
          <c:cat>
            <c:numRef>
              <c:f>Sheet2!$B$11:$I$11</c:f>
              <c:numCache>
                <c:formatCode>General</c:formatCode>
                <c:ptCount val="8"/>
                <c:pt idx="0">
                  <c:v>2004</c:v>
                </c:pt>
                <c:pt idx="1">
                  <c:v>2005</c:v>
                </c:pt>
                <c:pt idx="2">
                  <c:v>2006</c:v>
                </c:pt>
                <c:pt idx="3">
                  <c:v>2007</c:v>
                </c:pt>
                <c:pt idx="4">
                  <c:v>2008</c:v>
                </c:pt>
                <c:pt idx="5">
                  <c:v>2009</c:v>
                </c:pt>
                <c:pt idx="6">
                  <c:v>2010</c:v>
                </c:pt>
                <c:pt idx="7">
                  <c:v>2011</c:v>
                </c:pt>
              </c:numCache>
            </c:numRef>
          </c:cat>
          <c:val>
            <c:numRef>
              <c:f>Sheet2!$B$12:$I$12</c:f>
              <c:numCache>
                <c:formatCode>#,##0.0</c:formatCode>
                <c:ptCount val="8"/>
                <c:pt idx="0">
                  <c:v>895.3</c:v>
                </c:pt>
                <c:pt idx="1">
                  <c:v>1299.4000000000001</c:v>
                </c:pt>
                <c:pt idx="2">
                  <c:v>1623</c:v>
                </c:pt>
                <c:pt idx="3">
                  <c:v>2505.5</c:v>
                </c:pt>
                <c:pt idx="4">
                  <c:v>3572.8</c:v>
                </c:pt>
                <c:pt idx="5">
                  <c:v>2502</c:v>
                </c:pt>
                <c:pt idx="6">
                  <c:v>2476.5</c:v>
                </c:pt>
                <c:pt idx="7">
                  <c:v>1552.5</c:v>
                </c:pt>
              </c:numCache>
            </c:numRef>
          </c:val>
        </c:ser>
        <c:ser>
          <c:idx val="1"/>
          <c:order val="1"/>
          <c:tx>
            <c:strRef>
              <c:f>Sheet2!$A$13</c:f>
              <c:strCache>
                <c:ptCount val="1"/>
                <c:pt idx="0">
                  <c:v>التحويلات الرأسمالية المقبوضة</c:v>
                </c:pt>
              </c:strCache>
            </c:strRef>
          </c:tx>
          <c:cat>
            <c:numRef>
              <c:f>Sheet2!$B$11:$I$11</c:f>
              <c:numCache>
                <c:formatCode>General</c:formatCode>
                <c:ptCount val="8"/>
                <c:pt idx="0">
                  <c:v>2004</c:v>
                </c:pt>
                <c:pt idx="1">
                  <c:v>2005</c:v>
                </c:pt>
                <c:pt idx="2">
                  <c:v>2006</c:v>
                </c:pt>
                <c:pt idx="3">
                  <c:v>2007</c:v>
                </c:pt>
                <c:pt idx="4">
                  <c:v>2008</c:v>
                </c:pt>
                <c:pt idx="5">
                  <c:v>2009</c:v>
                </c:pt>
                <c:pt idx="6">
                  <c:v>2010</c:v>
                </c:pt>
                <c:pt idx="7">
                  <c:v>2011</c:v>
                </c:pt>
              </c:numCache>
            </c:numRef>
          </c:cat>
          <c:val>
            <c:numRef>
              <c:f>Sheet2!$B$13:$I$13</c:f>
              <c:numCache>
                <c:formatCode>#,##0.0</c:formatCode>
                <c:ptCount val="8"/>
                <c:pt idx="0">
                  <c:v>667.9</c:v>
                </c:pt>
                <c:pt idx="1">
                  <c:v>416.8</c:v>
                </c:pt>
                <c:pt idx="2">
                  <c:v>273.5</c:v>
                </c:pt>
                <c:pt idx="3">
                  <c:v>400.2</c:v>
                </c:pt>
                <c:pt idx="4">
                  <c:v>397.5</c:v>
                </c:pt>
                <c:pt idx="5">
                  <c:v>719</c:v>
                </c:pt>
                <c:pt idx="6">
                  <c:v>846.1</c:v>
                </c:pt>
                <c:pt idx="7">
                  <c:v>425.9</c:v>
                </c:pt>
              </c:numCache>
            </c:numRef>
          </c:val>
        </c:ser>
        <c:axId val="112131072"/>
        <c:axId val="112297088"/>
      </c:barChart>
      <c:catAx>
        <c:axId val="112131072"/>
        <c:scaling>
          <c:orientation val="minMax"/>
        </c:scaling>
        <c:axPos val="b"/>
        <c:title>
          <c:tx>
            <c:rich>
              <a:bodyPr/>
              <a:lstStyle/>
              <a:p>
                <a:pPr>
                  <a:defRPr/>
                </a:pPr>
                <a:r>
                  <a:rPr lang="ar-SA"/>
                  <a:t>السنة</a:t>
                </a:r>
              </a:p>
            </c:rich>
          </c:tx>
          <c:layout>
            <c:manualLayout>
              <c:xMode val="edge"/>
              <c:yMode val="edge"/>
              <c:x val="0.52494577006510301"/>
              <c:y val="0.82374100719427379"/>
            </c:manualLayout>
          </c:layout>
        </c:title>
        <c:numFmt formatCode="General" sourceLinked="1"/>
        <c:tickLblPos val="nextTo"/>
        <c:txPr>
          <a:bodyPr rot="0" vert="horz"/>
          <a:lstStyle/>
          <a:p>
            <a:pPr>
              <a:defRPr/>
            </a:pPr>
            <a:endParaRPr lang="ar-SA"/>
          </a:p>
        </c:txPr>
        <c:crossAx val="112297088"/>
        <c:crosses val="autoZero"/>
        <c:auto val="1"/>
        <c:lblAlgn val="ctr"/>
        <c:lblOffset val="100"/>
        <c:tickLblSkip val="1"/>
        <c:tickMarkSkip val="1"/>
      </c:catAx>
      <c:valAx>
        <c:axId val="112297088"/>
        <c:scaling>
          <c:orientation val="minMax"/>
        </c:scaling>
        <c:axPos val="l"/>
        <c:majorGridlines/>
        <c:title>
          <c:tx>
            <c:rich>
              <a:bodyPr/>
              <a:lstStyle/>
              <a:p>
                <a:pPr>
                  <a:defRPr/>
                </a:pPr>
                <a:r>
                  <a:rPr lang="ar-SA"/>
                  <a:t>قيمة التحويلات
بالمليون دولار</a:t>
                </a:r>
              </a:p>
            </c:rich>
          </c:tx>
          <c:layout>
            <c:manualLayout>
              <c:xMode val="edge"/>
              <c:yMode val="edge"/>
              <c:x val="4.1214750542299353E-2"/>
              <c:y val="0.2805755395683453"/>
            </c:manualLayout>
          </c:layout>
        </c:title>
        <c:numFmt formatCode="#,##0.0" sourceLinked="1"/>
        <c:tickLblPos val="nextTo"/>
        <c:txPr>
          <a:bodyPr rot="0" vert="horz"/>
          <a:lstStyle/>
          <a:p>
            <a:pPr>
              <a:defRPr/>
            </a:pPr>
            <a:endParaRPr lang="ar-SA"/>
          </a:p>
        </c:txPr>
        <c:crossAx val="112131072"/>
        <c:crosses val="autoZero"/>
        <c:crossBetween val="between"/>
      </c:valAx>
    </c:plotArea>
    <c:legend>
      <c:legendPos val="b"/>
      <c:layout>
        <c:manualLayout>
          <c:xMode val="edge"/>
          <c:yMode val="edge"/>
          <c:x val="0.22125813449024573"/>
          <c:y val="0.90287769784172667"/>
          <c:w val="0.64208242950108463"/>
          <c:h val="7.9136690647486407E-2"/>
        </c:manualLayout>
      </c:layout>
    </c:legend>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Sheet1!$A$13</c:f>
              <c:strCache>
                <c:ptCount val="1"/>
                <c:pt idx="0">
                  <c:v>الصادر</c:v>
                </c:pt>
              </c:strCache>
            </c:strRef>
          </c:tx>
          <c:cat>
            <c:numRef>
              <c:f>Sheet1!$B$12:$I$12</c:f>
              <c:numCache>
                <c:formatCode>General</c:formatCode>
                <c:ptCount val="8"/>
                <c:pt idx="0">
                  <c:v>2004</c:v>
                </c:pt>
                <c:pt idx="1">
                  <c:v>2005</c:v>
                </c:pt>
                <c:pt idx="2">
                  <c:v>2006</c:v>
                </c:pt>
                <c:pt idx="3">
                  <c:v>2007</c:v>
                </c:pt>
                <c:pt idx="4">
                  <c:v>2008</c:v>
                </c:pt>
                <c:pt idx="5">
                  <c:v>2009</c:v>
                </c:pt>
                <c:pt idx="6">
                  <c:v>2010</c:v>
                </c:pt>
                <c:pt idx="7">
                  <c:v>2011</c:v>
                </c:pt>
              </c:numCache>
            </c:numRef>
          </c:cat>
          <c:val>
            <c:numRef>
              <c:f>Sheet1!$B$13:$I$13</c:f>
              <c:numCache>
                <c:formatCode>General</c:formatCode>
                <c:ptCount val="8"/>
                <c:pt idx="0">
                  <c:v>641.1</c:v>
                </c:pt>
                <c:pt idx="1">
                  <c:v>717.1</c:v>
                </c:pt>
                <c:pt idx="2">
                  <c:v>710.3</c:v>
                </c:pt>
                <c:pt idx="3">
                  <c:v>1016</c:v>
                </c:pt>
                <c:pt idx="4">
                  <c:v>1164.5</c:v>
                </c:pt>
                <c:pt idx="5">
                  <c:v>1210.5999999999999</c:v>
                </c:pt>
                <c:pt idx="6">
                  <c:v>1496.8</c:v>
                </c:pt>
                <c:pt idx="7">
                  <c:v>1600.3</c:v>
                </c:pt>
              </c:numCache>
            </c:numRef>
          </c:val>
        </c:ser>
        <c:ser>
          <c:idx val="1"/>
          <c:order val="1"/>
          <c:tx>
            <c:strRef>
              <c:f>Sheet1!$A$14</c:f>
              <c:strCache>
                <c:ptCount val="1"/>
                <c:pt idx="0">
                  <c:v>الوارد</c:v>
                </c:pt>
              </c:strCache>
            </c:strRef>
          </c:tx>
          <c:cat>
            <c:numRef>
              <c:f>Sheet1!$B$12:$I$12</c:f>
              <c:numCache>
                <c:formatCode>General</c:formatCode>
                <c:ptCount val="8"/>
                <c:pt idx="0">
                  <c:v>2004</c:v>
                </c:pt>
                <c:pt idx="1">
                  <c:v>2005</c:v>
                </c:pt>
                <c:pt idx="2">
                  <c:v>2006</c:v>
                </c:pt>
                <c:pt idx="3">
                  <c:v>2007</c:v>
                </c:pt>
                <c:pt idx="4">
                  <c:v>2008</c:v>
                </c:pt>
                <c:pt idx="5">
                  <c:v>2009</c:v>
                </c:pt>
                <c:pt idx="6">
                  <c:v>2010</c:v>
                </c:pt>
                <c:pt idx="7">
                  <c:v>2011</c:v>
                </c:pt>
              </c:numCache>
            </c:numRef>
          </c:cat>
          <c:val>
            <c:numRef>
              <c:f>Sheet1!$B$14:$I$14</c:f>
              <c:numCache>
                <c:formatCode>General</c:formatCode>
                <c:ptCount val="8"/>
                <c:pt idx="0">
                  <c:v>3337.8</c:v>
                </c:pt>
                <c:pt idx="1">
                  <c:v>3618.4</c:v>
                </c:pt>
                <c:pt idx="2">
                  <c:v>3805.7</c:v>
                </c:pt>
                <c:pt idx="3">
                  <c:v>4567.3</c:v>
                </c:pt>
                <c:pt idx="4">
                  <c:v>4739.2</c:v>
                </c:pt>
                <c:pt idx="5">
                  <c:v>5066.8</c:v>
                </c:pt>
                <c:pt idx="6">
                  <c:v>5461.7</c:v>
                </c:pt>
                <c:pt idx="7">
                  <c:v>5930.6</c:v>
                </c:pt>
              </c:numCache>
            </c:numRef>
          </c:val>
        </c:ser>
        <c:ser>
          <c:idx val="2"/>
          <c:order val="2"/>
          <c:tx>
            <c:strRef>
              <c:f>Sheet1!$A$15</c:f>
              <c:strCache>
                <c:ptCount val="1"/>
                <c:pt idx="0">
                  <c:v>العجز</c:v>
                </c:pt>
              </c:strCache>
            </c:strRef>
          </c:tx>
          <c:cat>
            <c:numRef>
              <c:f>Sheet1!$B$12:$I$12</c:f>
              <c:numCache>
                <c:formatCode>General</c:formatCode>
                <c:ptCount val="8"/>
                <c:pt idx="0">
                  <c:v>2004</c:v>
                </c:pt>
                <c:pt idx="1">
                  <c:v>2005</c:v>
                </c:pt>
                <c:pt idx="2">
                  <c:v>2006</c:v>
                </c:pt>
                <c:pt idx="3">
                  <c:v>2007</c:v>
                </c:pt>
                <c:pt idx="4">
                  <c:v>2008</c:v>
                </c:pt>
                <c:pt idx="5">
                  <c:v>2009</c:v>
                </c:pt>
                <c:pt idx="6">
                  <c:v>2010</c:v>
                </c:pt>
                <c:pt idx="7">
                  <c:v>2011</c:v>
                </c:pt>
              </c:numCache>
            </c:numRef>
          </c:cat>
          <c:val>
            <c:numRef>
              <c:f>Sheet1!$B$15:$I$15</c:f>
              <c:numCache>
                <c:formatCode>General</c:formatCode>
                <c:ptCount val="8"/>
                <c:pt idx="0">
                  <c:v>-2696.7</c:v>
                </c:pt>
                <c:pt idx="1">
                  <c:v>-2901.3</c:v>
                </c:pt>
                <c:pt idx="2">
                  <c:v>-3095.4</c:v>
                </c:pt>
                <c:pt idx="3">
                  <c:v>-3551.3</c:v>
                </c:pt>
                <c:pt idx="4">
                  <c:v>-3574.7</c:v>
                </c:pt>
                <c:pt idx="5">
                  <c:v>-3856.2</c:v>
                </c:pt>
                <c:pt idx="6">
                  <c:v>-3964.9</c:v>
                </c:pt>
                <c:pt idx="7">
                  <c:v>-4330.3</c:v>
                </c:pt>
              </c:numCache>
            </c:numRef>
          </c:val>
        </c:ser>
        <c:axId val="77510912"/>
        <c:axId val="112116096"/>
      </c:barChart>
      <c:catAx>
        <c:axId val="77510912"/>
        <c:scaling>
          <c:orientation val="minMax"/>
        </c:scaling>
        <c:axPos val="b"/>
        <c:title>
          <c:tx>
            <c:rich>
              <a:bodyPr/>
              <a:lstStyle/>
              <a:p>
                <a:pPr>
                  <a:defRPr/>
                </a:pPr>
                <a:r>
                  <a:rPr lang="ar-SA"/>
                  <a:t>السنة</a:t>
                </a:r>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ar-SA"/>
          </a:p>
        </c:txPr>
        <c:crossAx val="112116096"/>
        <c:crosses val="autoZero"/>
        <c:auto val="1"/>
        <c:lblAlgn val="ctr"/>
        <c:lblOffset val="100"/>
        <c:tickLblSkip val="1"/>
        <c:tickMarkSkip val="1"/>
      </c:catAx>
      <c:valAx>
        <c:axId val="112116096"/>
        <c:scaling>
          <c:orientation val="minMax"/>
        </c:scaling>
        <c:axPos val="l"/>
        <c:majorGridlines/>
        <c:title>
          <c:tx>
            <c:rich>
              <a:bodyPr/>
              <a:lstStyle/>
              <a:p>
                <a:pPr>
                  <a:defRPr/>
                </a:pPr>
                <a:r>
                  <a:rPr lang="ar-SA"/>
                  <a:t>القيمة بالمليون دولار</a:t>
                </a:r>
              </a:p>
            </c:rich>
          </c:tx>
          <c:layout>
            <c:manualLayout>
              <c:xMode val="edge"/>
              <c:yMode val="edge"/>
              <c:x val="9.8033647433415205E-3"/>
              <c:y val="0.27514810648668914"/>
            </c:manualLayout>
          </c:layout>
        </c:title>
        <c:numFmt formatCode="General" sourceLinked="1"/>
        <c:tickLblPos val="nextTo"/>
        <c:txPr>
          <a:bodyPr rot="0" vert="horz"/>
          <a:lstStyle/>
          <a:p>
            <a:pPr>
              <a:defRPr/>
            </a:pPr>
            <a:endParaRPr lang="ar-SA"/>
          </a:p>
        </c:txPr>
        <c:crossAx val="77510912"/>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legend>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7972350230414738"/>
          <c:y val="0.1111111111111111"/>
          <c:w val="0.77035330261136714"/>
          <c:h val="0.64396654719235358"/>
        </c:manualLayout>
      </c:layout>
      <c:lineChart>
        <c:grouping val="standard"/>
        <c:ser>
          <c:idx val="0"/>
          <c:order val="0"/>
          <c:tx>
            <c:strRef>
              <c:f>Sheet3!$C$43</c:f>
              <c:strCache>
                <c:ptCount val="1"/>
                <c:pt idx="0">
                  <c:v>الايرادات الضريبية</c:v>
                </c:pt>
              </c:strCache>
            </c:strRef>
          </c:tx>
          <c:marker>
            <c:symbol val="none"/>
          </c:marker>
          <c:dLbls>
            <c:dLbl>
              <c:idx val="0"/>
              <c:layout>
                <c:manualLayout>
                  <c:x val="-5.3314248486656682E-2"/>
                  <c:y val="-5.48303523060506E-2"/>
                </c:manualLayout>
              </c:layout>
              <c:spPr/>
              <c:txPr>
                <a:bodyPr/>
                <a:lstStyle/>
                <a:p>
                  <a:pPr>
                    <a:defRPr/>
                  </a:pPr>
                  <a:endParaRPr lang="ar-SA"/>
                </a:p>
              </c:txPr>
              <c:dLblPos val="r"/>
              <c:showVal val="1"/>
            </c:dLbl>
            <c:dLbl>
              <c:idx val="7"/>
              <c:layout>
                <c:manualLayout>
                  <c:x val="-9.7689768976897726E-2"/>
                  <c:y val="-4.3431053203040172E-2"/>
                </c:manualLayout>
              </c:layout>
              <c:spPr/>
              <c:txPr>
                <a:bodyPr/>
                <a:lstStyle/>
                <a:p>
                  <a:pPr>
                    <a:defRPr/>
                  </a:pPr>
                  <a:endParaRPr lang="ar-SA"/>
                </a:p>
              </c:txPr>
              <c:dLblPos val="r"/>
              <c:showVal val="1"/>
            </c:dLbl>
            <c:delete val="1"/>
          </c:dLbls>
          <c:cat>
            <c:numRef>
              <c:f>Sheet3!$B$44:$B$51</c:f>
              <c:numCache>
                <c:formatCode>General</c:formatCode>
                <c:ptCount val="8"/>
                <c:pt idx="0">
                  <c:v>2004</c:v>
                </c:pt>
                <c:pt idx="1">
                  <c:v>2005</c:v>
                </c:pt>
                <c:pt idx="2">
                  <c:v>2006</c:v>
                </c:pt>
                <c:pt idx="3">
                  <c:v>2007</c:v>
                </c:pt>
                <c:pt idx="4">
                  <c:v>2008</c:v>
                </c:pt>
                <c:pt idx="5">
                  <c:v>2009</c:v>
                </c:pt>
                <c:pt idx="6">
                  <c:v>2010</c:v>
                </c:pt>
                <c:pt idx="7">
                  <c:v>2011</c:v>
                </c:pt>
              </c:numCache>
            </c:numRef>
          </c:cat>
          <c:val>
            <c:numRef>
              <c:f>Sheet3!$C$44:$C$51</c:f>
              <c:numCache>
                <c:formatCode>General</c:formatCode>
                <c:ptCount val="8"/>
                <c:pt idx="0">
                  <c:v>191</c:v>
                </c:pt>
                <c:pt idx="1">
                  <c:v>231</c:v>
                </c:pt>
                <c:pt idx="2">
                  <c:v>221</c:v>
                </c:pt>
                <c:pt idx="3">
                  <c:v>202</c:v>
                </c:pt>
                <c:pt idx="4">
                  <c:v>272.89999999999969</c:v>
                </c:pt>
                <c:pt idx="5">
                  <c:v>301.5</c:v>
                </c:pt>
                <c:pt idx="6">
                  <c:v>474.4</c:v>
                </c:pt>
                <c:pt idx="7">
                  <c:v>482.3</c:v>
                </c:pt>
              </c:numCache>
            </c:numRef>
          </c:val>
        </c:ser>
        <c:marker val="1"/>
        <c:axId val="112530560"/>
        <c:axId val="112532480"/>
      </c:lineChart>
      <c:catAx>
        <c:axId val="112530560"/>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ar-SA"/>
          </a:p>
        </c:txPr>
        <c:crossAx val="112532480"/>
        <c:crosses val="autoZero"/>
        <c:auto val="1"/>
        <c:lblAlgn val="ctr"/>
        <c:lblOffset val="100"/>
        <c:tickLblSkip val="1"/>
        <c:tickMarkSkip val="1"/>
      </c:catAx>
      <c:valAx>
        <c:axId val="112532480"/>
        <c:scaling>
          <c:orientation val="minMax"/>
        </c:scaling>
        <c:axPos val="l"/>
        <c:majorGridlines/>
        <c:title>
          <c:tx>
            <c:rich>
              <a:bodyPr/>
              <a:lstStyle/>
              <a:p>
                <a:pPr>
                  <a:defRPr sz="1100" b="0" i="0" u="none" strike="noStrike" baseline="0">
                    <a:solidFill>
                      <a:srgbClr val="000000"/>
                    </a:solidFill>
                    <a:latin typeface="Arial"/>
                    <a:ea typeface="Arial"/>
                    <a:cs typeface="Arial"/>
                  </a:defRPr>
                </a:pPr>
                <a:r>
                  <a:rPr lang="ar-SA" sz="1000" b="1" i="0" u="none" strike="noStrike" baseline="0">
                    <a:solidFill>
                      <a:srgbClr val="000000"/>
                    </a:solidFill>
                    <a:latin typeface="Arial"/>
                    <a:cs typeface="Arial"/>
                  </a:rPr>
                  <a:t>الايرادات الضريبية</a:t>
                </a:r>
                <a:r>
                  <a:rPr lang="ar-SA" sz="1000" b="1" i="0" u="none" strike="noStrike" baseline="0">
                    <a:solidFill>
                      <a:srgbClr val="000000"/>
                    </a:solidFill>
                    <a:latin typeface="Calibri"/>
                  </a:rPr>
                  <a:t> </a:t>
                </a:r>
                <a:r>
                  <a:rPr lang="ar-SA" sz="1000" b="1" i="0" u="none" strike="noStrike" baseline="0">
                    <a:solidFill>
                      <a:srgbClr val="000000"/>
                    </a:solidFill>
                    <a:latin typeface="Arial"/>
                    <a:cs typeface="Arial"/>
                  </a:rPr>
                  <a:t>بالمليون دولار</a:t>
                </a:r>
              </a:p>
            </c:rich>
          </c:tx>
          <c:layout>
            <c:manualLayout>
              <c:xMode val="edge"/>
              <c:yMode val="edge"/>
              <c:x val="2.2273337044990921E-2"/>
              <c:y val="0.21266417455393841"/>
            </c:manualLayout>
          </c:layout>
        </c:title>
        <c:numFmt formatCode="General" sourceLinked="1"/>
        <c:tickLblPos val="nextTo"/>
        <c:txPr>
          <a:bodyPr rot="0" vert="horz"/>
          <a:lstStyle/>
          <a:p>
            <a:pPr>
              <a:defRPr/>
            </a:pPr>
            <a:endParaRPr lang="ar-SA"/>
          </a:p>
        </c:txPr>
        <c:crossAx val="112530560"/>
        <c:crosses val="autoZero"/>
        <c:crossBetween val="between"/>
        <c:majorUnit val="100"/>
        <c:minorUnit val="50"/>
      </c:valAx>
    </c:plotArea>
    <c:plotVisOnly val="1"/>
    <c:dispBlanksAs val="gap"/>
  </c:chart>
  <c:externalData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9206680584551147"/>
          <c:y val="5.1446945337620578E-2"/>
          <c:w val="0.78914405010441246"/>
          <c:h val="0.75884244372990362"/>
        </c:manualLayout>
      </c:layout>
      <c:lineChart>
        <c:grouping val="standard"/>
        <c:ser>
          <c:idx val="0"/>
          <c:order val="0"/>
          <c:tx>
            <c:strRef>
              <c:f>Sheet3!$C$56</c:f>
              <c:strCache>
                <c:ptCount val="1"/>
                <c:pt idx="0">
                  <c:v>ايرادات المقاصة</c:v>
                </c:pt>
              </c:strCache>
            </c:strRef>
          </c:tx>
          <c:marker>
            <c:symbol val="none"/>
          </c:marker>
          <c:dLbls>
            <c:dLbl>
              <c:idx val="0"/>
              <c:layout>
                <c:manualLayout>
                  <c:x val="-4.6311754225260439E-2"/>
                  <c:y val="-5.6829349737539045E-2"/>
                </c:manualLayout>
              </c:layout>
              <c:numFmt formatCode="#,##0" sourceLinked="0"/>
              <c:spPr/>
              <c:txPr>
                <a:bodyPr/>
                <a:lstStyle/>
                <a:p>
                  <a:pPr>
                    <a:defRPr/>
                  </a:pPr>
                  <a:endParaRPr lang="ar-SA"/>
                </a:p>
              </c:txPr>
              <c:dLblPos val="r"/>
              <c:showVal val="1"/>
            </c:dLbl>
            <c:dLbl>
              <c:idx val="7"/>
              <c:layout>
                <c:manualLayout>
                  <c:x val="-2.8268551236747531E-2"/>
                  <c:y val="7.3529411764705885E-2"/>
                </c:manualLayout>
              </c:layout>
              <c:spPr/>
              <c:txPr>
                <a:bodyPr/>
                <a:lstStyle/>
                <a:p>
                  <a:pPr>
                    <a:defRPr/>
                  </a:pPr>
                  <a:endParaRPr lang="ar-SA"/>
                </a:p>
              </c:txPr>
              <c:dLblPos val="r"/>
              <c:showVal val="1"/>
            </c:dLbl>
            <c:delete val="1"/>
          </c:dLbls>
          <c:cat>
            <c:numRef>
              <c:f>Sheet3!$B$57:$B$64</c:f>
              <c:numCache>
                <c:formatCode>General</c:formatCode>
                <c:ptCount val="8"/>
                <c:pt idx="0">
                  <c:v>2004</c:v>
                </c:pt>
                <c:pt idx="1">
                  <c:v>2005</c:v>
                </c:pt>
                <c:pt idx="2">
                  <c:v>2006</c:v>
                </c:pt>
                <c:pt idx="3">
                  <c:v>2007</c:v>
                </c:pt>
                <c:pt idx="4">
                  <c:v>2008</c:v>
                </c:pt>
                <c:pt idx="5">
                  <c:v>2009</c:v>
                </c:pt>
                <c:pt idx="6">
                  <c:v>2010</c:v>
                </c:pt>
                <c:pt idx="7">
                  <c:v>2011</c:v>
                </c:pt>
              </c:numCache>
            </c:numRef>
          </c:cat>
          <c:val>
            <c:numRef>
              <c:f>Sheet3!$C$57:$C$64</c:f>
              <c:numCache>
                <c:formatCode>General</c:formatCode>
                <c:ptCount val="8"/>
                <c:pt idx="0">
                  <c:v>617</c:v>
                </c:pt>
                <c:pt idx="1">
                  <c:v>757</c:v>
                </c:pt>
                <c:pt idx="2">
                  <c:v>771</c:v>
                </c:pt>
                <c:pt idx="3">
                  <c:v>896</c:v>
                </c:pt>
                <c:pt idx="4">
                  <c:v>1122.2</c:v>
                </c:pt>
                <c:pt idx="5">
                  <c:v>1103.2</c:v>
                </c:pt>
                <c:pt idx="6">
                  <c:v>1259.2</c:v>
                </c:pt>
                <c:pt idx="7">
                  <c:v>1423.2</c:v>
                </c:pt>
              </c:numCache>
            </c:numRef>
          </c:val>
        </c:ser>
        <c:marker val="1"/>
        <c:axId val="112651648"/>
        <c:axId val="112580096"/>
      </c:lineChart>
      <c:catAx>
        <c:axId val="112651648"/>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JO"/>
                  <a:t>السنة</a:t>
                </a:r>
              </a:p>
            </c:rich>
          </c:tx>
          <c:layout>
            <c:manualLayout>
              <c:xMode val="edge"/>
              <c:yMode val="edge"/>
              <c:x val="0.54443491785748999"/>
              <c:y val="0.90263848597872631"/>
            </c:manualLayout>
          </c:layout>
        </c:title>
        <c:numFmt formatCode="General" sourceLinked="1"/>
        <c:tickLblPos val="nextTo"/>
        <c:txPr>
          <a:bodyPr rot="0" vert="horz"/>
          <a:lstStyle/>
          <a:p>
            <a:pPr>
              <a:defRPr/>
            </a:pPr>
            <a:endParaRPr lang="ar-SA"/>
          </a:p>
        </c:txPr>
        <c:crossAx val="112580096"/>
        <c:crosses val="autoZero"/>
        <c:auto val="1"/>
        <c:lblAlgn val="ctr"/>
        <c:lblOffset val="100"/>
        <c:tickLblSkip val="1"/>
        <c:tickMarkSkip val="1"/>
      </c:catAx>
      <c:valAx>
        <c:axId val="112580096"/>
        <c:scaling>
          <c:orientation val="minMax"/>
        </c:scaling>
        <c:axPos val="l"/>
        <c:majorGridlines/>
        <c:title>
          <c:tx>
            <c:rich>
              <a:bodyPr/>
              <a:lstStyle/>
              <a:p>
                <a:pPr>
                  <a:defRPr sz="1000" b="1" i="0" u="none" strike="noStrike" baseline="0">
                    <a:solidFill>
                      <a:srgbClr val="000000"/>
                    </a:solidFill>
                    <a:latin typeface="Arial"/>
                    <a:ea typeface="Arial"/>
                    <a:cs typeface="Arial"/>
                  </a:defRPr>
                </a:pPr>
                <a:r>
                  <a:rPr lang="ar-JO"/>
                  <a:t> ايرادات المقاصة بالمليون دولار</a:t>
                </a:r>
              </a:p>
            </c:rich>
          </c:tx>
          <c:layout>
            <c:manualLayout>
              <c:xMode val="edge"/>
              <c:yMode val="edge"/>
              <c:x val="5.2192087100224174E-2"/>
              <c:y val="0.25080378110630908"/>
            </c:manualLayout>
          </c:layout>
        </c:title>
        <c:numFmt formatCode="General" sourceLinked="1"/>
        <c:tickLblPos val="nextTo"/>
        <c:txPr>
          <a:bodyPr rot="0" vert="horz"/>
          <a:lstStyle/>
          <a:p>
            <a:pPr>
              <a:defRPr/>
            </a:pPr>
            <a:endParaRPr lang="ar-SA"/>
          </a:p>
        </c:txPr>
        <c:crossAx val="112651648"/>
        <c:crosses val="autoZero"/>
        <c:crossBetween val="between"/>
        <c:majorUnit val="300"/>
      </c:valAx>
    </c:plotArea>
    <c:plotVisOnly val="1"/>
    <c:dispBlanksAs val="gap"/>
  </c:chart>
  <c:externalData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21864951768488747"/>
          <c:y val="0.35051546391754118"/>
          <c:w val="0.55948553054662353"/>
          <c:h val="0.35567010309279695"/>
        </c:manualLayout>
      </c:layout>
      <c:pie3DChart>
        <c:varyColors val="1"/>
        <c:ser>
          <c:idx val="0"/>
          <c:order val="0"/>
          <c:dLbls>
            <c:dLbl>
              <c:idx val="0"/>
              <c:layout>
                <c:manualLayout>
                  <c:x val="1.5157684728661257E-2"/>
                  <c:y val="8.8996254109013226E-2"/>
                </c:manualLayout>
              </c:layout>
              <c:dLblPos val="bestFit"/>
              <c:showCatName val="1"/>
              <c:showPercent val="1"/>
            </c:dLbl>
            <c:dLbl>
              <c:idx val="1"/>
              <c:layout>
                <c:manualLayout>
                  <c:x val="1.6091282982150595E-2"/>
                  <c:y val="0.19821879061234551"/>
                </c:manualLayout>
              </c:layout>
              <c:dLblPos val="bestFit"/>
              <c:showCatName val="1"/>
              <c:showPercent val="1"/>
            </c:dLbl>
            <c:dLbl>
              <c:idx val="2"/>
              <c:layout>
                <c:manualLayout>
                  <c:x val="0.17337855045347053"/>
                  <c:y val="-6.3977610533489937E-2"/>
                </c:manualLayout>
              </c:layout>
              <c:dLblPos val="bestFit"/>
              <c:showCatName val="1"/>
              <c:showPercent val="1"/>
            </c:dLbl>
            <c:numFmt formatCode="0%" sourceLinked="0"/>
            <c:txPr>
              <a:bodyPr/>
              <a:lstStyle/>
              <a:p>
                <a:pPr>
                  <a:defRPr sz="900"/>
                </a:pPr>
                <a:endParaRPr lang="ar-SA"/>
              </a:p>
            </c:txPr>
            <c:showCatName val="1"/>
            <c:showPercent val="1"/>
            <c:showLeaderLines val="1"/>
          </c:dLbls>
          <c:cat>
            <c:strRef>
              <c:f>Sheet3!$C$67:$E$67</c:f>
              <c:strCache>
                <c:ptCount val="3"/>
                <c:pt idx="0">
                  <c:v>اجور</c:v>
                </c:pt>
                <c:pt idx="1">
                  <c:v>غير اجور</c:v>
                </c:pt>
                <c:pt idx="2">
                  <c:v>صافي الاقراض</c:v>
                </c:pt>
              </c:strCache>
            </c:strRef>
          </c:cat>
          <c:val>
            <c:numRef>
              <c:f>Sheet3!$C$68:$E$68</c:f>
              <c:numCache>
                <c:formatCode>General</c:formatCode>
                <c:ptCount val="3"/>
                <c:pt idx="0">
                  <c:v>1613.8</c:v>
                </c:pt>
                <c:pt idx="1">
                  <c:v>1227.0999999999999</c:v>
                </c:pt>
                <c:pt idx="2">
                  <c:v>235.9</c:v>
                </c:pt>
              </c:numCache>
            </c:numRef>
          </c:val>
        </c:ser>
        <c:dLbls>
          <c:showCatName val="1"/>
          <c:showPercent val="1"/>
        </c:dLbls>
      </c:pie3DChart>
      <c:spPr>
        <a:noFill/>
        <a:ln w="25394">
          <a:noFill/>
        </a:ln>
      </c:spPr>
    </c:plotArea>
    <c:plotVisOnly val="1"/>
    <c:dispBlanksAs val="zero"/>
  </c:chart>
  <c:externalData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1"/>
  <c:chart>
    <c:view3D>
      <c:perspective val="0"/>
    </c:view3D>
    <c:plotArea>
      <c:layout>
        <c:manualLayout>
          <c:layoutTarget val="inner"/>
          <c:xMode val="edge"/>
          <c:yMode val="edge"/>
          <c:x val="0.22327044025157233"/>
          <c:y val="0.35714285714287491"/>
          <c:w val="0.55974842767295663"/>
          <c:h val="0.36224489795919745"/>
        </c:manualLayout>
      </c:layout>
      <c:pie3DChart>
        <c:varyColors val="1"/>
        <c:ser>
          <c:idx val="0"/>
          <c:order val="0"/>
          <c:dLbls>
            <c:dLbl>
              <c:idx val="0"/>
              <c:layout>
                <c:manualLayout>
                  <c:x val="3.333765443953652E-2"/>
                  <c:y val="-0.11224269296435042"/>
                </c:manualLayout>
              </c:layout>
              <c:dLblPos val="bestFit"/>
              <c:showCatName val="1"/>
              <c:showPercent val="1"/>
            </c:dLbl>
            <c:dLbl>
              <c:idx val="1"/>
              <c:layout>
                <c:manualLayout>
                  <c:x val="-2.4590295115549582E-2"/>
                  <c:y val="0.18973523940575998"/>
                </c:manualLayout>
              </c:layout>
              <c:dLblPos val="bestFit"/>
              <c:showCatName val="1"/>
              <c:showPercent val="1"/>
            </c:dLbl>
            <c:dLbl>
              <c:idx val="2"/>
              <c:layout>
                <c:manualLayout>
                  <c:x val="0.16764499711926767"/>
                  <c:y val="-5.3995362230206692E-2"/>
                </c:manualLayout>
              </c:layout>
              <c:dLblPos val="bestFit"/>
              <c:showCatName val="1"/>
              <c:showPercent val="1"/>
            </c:dLbl>
            <c:numFmt formatCode="0%" sourceLinked="0"/>
            <c:txPr>
              <a:bodyPr/>
              <a:lstStyle/>
              <a:p>
                <a:pPr>
                  <a:defRPr sz="901"/>
                </a:pPr>
                <a:endParaRPr lang="ar-SA"/>
              </a:p>
            </c:txPr>
            <c:showCatName val="1"/>
            <c:showPercent val="1"/>
            <c:showLeaderLines val="1"/>
          </c:dLbls>
          <c:cat>
            <c:strRef>
              <c:f>Sheet3!$C$69:$E$69</c:f>
              <c:strCache>
                <c:ptCount val="3"/>
                <c:pt idx="0">
                  <c:v>اجور</c:v>
                </c:pt>
                <c:pt idx="1">
                  <c:v>غير اجور</c:v>
                </c:pt>
                <c:pt idx="2">
                  <c:v>صافي الاقراض</c:v>
                </c:pt>
              </c:strCache>
            </c:strRef>
          </c:cat>
          <c:val>
            <c:numRef>
              <c:f>Sheet3!$C$70:$E$70</c:f>
              <c:numCache>
                <c:formatCode>General</c:formatCode>
                <c:ptCount val="3"/>
                <c:pt idx="0">
                  <c:v>1782.4</c:v>
                </c:pt>
                <c:pt idx="1">
                  <c:v>1400.9</c:v>
                </c:pt>
                <c:pt idx="2">
                  <c:v>139.9</c:v>
                </c:pt>
              </c:numCache>
            </c:numRef>
          </c:val>
        </c:ser>
        <c:dLbls>
          <c:showCatName val="1"/>
          <c:showPercent val="1"/>
        </c:dLbls>
      </c:pie3DChart>
      <c:spPr>
        <a:noFill/>
        <a:ln w="25421">
          <a:noFill/>
        </a:ln>
      </c:spPr>
    </c:plotArea>
    <c:plotVisOnly val="1"/>
    <c:dispBlanksAs val="zero"/>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2614723474031673"/>
          <c:y val="6.6066129488915923E-2"/>
          <c:w val="0.71734475374732332"/>
          <c:h val="0.62762762762765389"/>
        </c:manualLayout>
      </c:layout>
      <c:lineChart>
        <c:grouping val="standard"/>
        <c:ser>
          <c:idx val="0"/>
          <c:order val="0"/>
          <c:tx>
            <c:strRef>
              <c:f>Sheet1!$G$57</c:f>
              <c:strCache>
                <c:ptCount val="1"/>
                <c:pt idx="0">
                  <c:v>الاراضي الفلسطينية</c:v>
                </c:pt>
              </c:strCache>
            </c:strRef>
          </c:tx>
          <c:marker>
            <c:symbol val="none"/>
          </c:marker>
          <c:cat>
            <c:numRef>
              <c:f>Sheet1!$F$58:$F$65</c:f>
              <c:numCache>
                <c:formatCode>General</c:formatCode>
                <c:ptCount val="8"/>
                <c:pt idx="0">
                  <c:v>2004</c:v>
                </c:pt>
                <c:pt idx="1">
                  <c:v>2005</c:v>
                </c:pt>
                <c:pt idx="2">
                  <c:v>2006</c:v>
                </c:pt>
                <c:pt idx="3">
                  <c:v>2007</c:v>
                </c:pt>
                <c:pt idx="4">
                  <c:v>2008</c:v>
                </c:pt>
                <c:pt idx="5">
                  <c:v>2009</c:v>
                </c:pt>
                <c:pt idx="6">
                  <c:v>2010</c:v>
                </c:pt>
                <c:pt idx="7">
                  <c:v>2011</c:v>
                </c:pt>
              </c:numCache>
            </c:numRef>
          </c:cat>
          <c:val>
            <c:numRef>
              <c:f>Sheet1!$G$58:$G$65</c:f>
              <c:numCache>
                <c:formatCode>#,##0.0</c:formatCode>
                <c:ptCount val="8"/>
                <c:pt idx="0">
                  <c:v>1317</c:v>
                </c:pt>
                <c:pt idx="1">
                  <c:v>1387.2</c:v>
                </c:pt>
                <c:pt idx="2">
                  <c:v>1275.4000000000001</c:v>
                </c:pt>
                <c:pt idx="3">
                  <c:v>1303.2</c:v>
                </c:pt>
                <c:pt idx="4">
                  <c:v>1356.3</c:v>
                </c:pt>
                <c:pt idx="5">
                  <c:v>1415.2</c:v>
                </c:pt>
                <c:pt idx="6">
                  <c:v>1509.9</c:v>
                </c:pt>
                <c:pt idx="7">
                  <c:v>1609.6</c:v>
                </c:pt>
              </c:numCache>
            </c:numRef>
          </c:val>
        </c:ser>
        <c:ser>
          <c:idx val="1"/>
          <c:order val="1"/>
          <c:tx>
            <c:strRef>
              <c:f>Sheet1!$H$57</c:f>
              <c:strCache>
                <c:ptCount val="1"/>
                <c:pt idx="0">
                  <c:v>الضفة الغربية</c:v>
                </c:pt>
              </c:strCache>
            </c:strRef>
          </c:tx>
          <c:spPr>
            <a:ln>
              <a:prstDash val="sysDot"/>
            </a:ln>
          </c:spPr>
          <c:marker>
            <c:symbol val="none"/>
          </c:marker>
          <c:cat>
            <c:numRef>
              <c:f>Sheet1!$F$58:$F$65</c:f>
              <c:numCache>
                <c:formatCode>General</c:formatCode>
                <c:ptCount val="8"/>
                <c:pt idx="0">
                  <c:v>2004</c:v>
                </c:pt>
                <c:pt idx="1">
                  <c:v>2005</c:v>
                </c:pt>
                <c:pt idx="2">
                  <c:v>2006</c:v>
                </c:pt>
                <c:pt idx="3">
                  <c:v>2007</c:v>
                </c:pt>
                <c:pt idx="4">
                  <c:v>2008</c:v>
                </c:pt>
                <c:pt idx="5">
                  <c:v>2009</c:v>
                </c:pt>
                <c:pt idx="6">
                  <c:v>2010</c:v>
                </c:pt>
                <c:pt idx="7">
                  <c:v>2011</c:v>
                </c:pt>
              </c:numCache>
            </c:numRef>
          </c:cat>
          <c:val>
            <c:numRef>
              <c:f>Sheet1!$H$58:$H$65</c:f>
              <c:numCache>
                <c:formatCode>#,##0.0</c:formatCode>
                <c:ptCount val="8"/>
                <c:pt idx="0">
                  <c:v>1457.1</c:v>
                </c:pt>
                <c:pt idx="1">
                  <c:v>1451.1</c:v>
                </c:pt>
                <c:pt idx="2">
                  <c:v>1459.8</c:v>
                </c:pt>
                <c:pt idx="3">
                  <c:v>1580.5</c:v>
                </c:pt>
                <c:pt idx="4">
                  <c:v>1723.6</c:v>
                </c:pt>
                <c:pt idx="5">
                  <c:v>1796.3</c:v>
                </c:pt>
                <c:pt idx="6" formatCode="0.0">
                  <c:v>1867.1</c:v>
                </c:pt>
                <c:pt idx="7">
                  <c:v>1912.1</c:v>
                </c:pt>
              </c:numCache>
            </c:numRef>
          </c:val>
        </c:ser>
        <c:ser>
          <c:idx val="2"/>
          <c:order val="2"/>
          <c:tx>
            <c:strRef>
              <c:f>Sheet1!$I$57</c:f>
              <c:strCache>
                <c:ptCount val="1"/>
                <c:pt idx="0">
                  <c:v>قطاع غزة</c:v>
                </c:pt>
              </c:strCache>
            </c:strRef>
          </c:tx>
          <c:spPr>
            <a:ln>
              <a:prstDash val="dashDot"/>
            </a:ln>
          </c:spPr>
          <c:marker>
            <c:symbol val="none"/>
          </c:marker>
          <c:cat>
            <c:numRef>
              <c:f>Sheet1!$F$58:$F$65</c:f>
              <c:numCache>
                <c:formatCode>General</c:formatCode>
                <c:ptCount val="8"/>
                <c:pt idx="0">
                  <c:v>2004</c:v>
                </c:pt>
                <c:pt idx="1">
                  <c:v>2005</c:v>
                </c:pt>
                <c:pt idx="2">
                  <c:v>2006</c:v>
                </c:pt>
                <c:pt idx="3">
                  <c:v>2007</c:v>
                </c:pt>
                <c:pt idx="4">
                  <c:v>2008</c:v>
                </c:pt>
                <c:pt idx="5">
                  <c:v>2009</c:v>
                </c:pt>
                <c:pt idx="6">
                  <c:v>2010</c:v>
                </c:pt>
                <c:pt idx="7">
                  <c:v>2011</c:v>
                </c:pt>
              </c:numCache>
            </c:numRef>
          </c:cat>
          <c:val>
            <c:numRef>
              <c:f>Sheet1!$I$58:$I$65</c:f>
              <c:numCache>
                <c:formatCode>#,##0.0</c:formatCode>
                <c:ptCount val="8"/>
                <c:pt idx="0">
                  <c:v>1103.0999999999999</c:v>
                </c:pt>
                <c:pt idx="1">
                  <c:v>1290.0999999999999</c:v>
                </c:pt>
                <c:pt idx="2">
                  <c:v>996.5</c:v>
                </c:pt>
                <c:pt idx="3">
                  <c:v>886.2</c:v>
                </c:pt>
                <c:pt idx="4">
                  <c:v>806.5</c:v>
                </c:pt>
                <c:pt idx="5">
                  <c:v>847.2</c:v>
                </c:pt>
                <c:pt idx="6" formatCode="0.0">
                  <c:v>980.2</c:v>
                </c:pt>
                <c:pt idx="7">
                  <c:v>1164.5</c:v>
                </c:pt>
              </c:numCache>
            </c:numRef>
          </c:val>
        </c:ser>
        <c:marker val="1"/>
        <c:axId val="78164352"/>
        <c:axId val="78167040"/>
      </c:lineChart>
      <c:catAx>
        <c:axId val="78164352"/>
        <c:scaling>
          <c:orientation val="minMax"/>
        </c:scaling>
        <c:axPos val="b"/>
        <c:majorGridlines/>
        <c:title>
          <c:tx>
            <c:rich>
              <a:bodyPr/>
              <a:lstStyle/>
              <a:p>
                <a:pPr>
                  <a:defRPr/>
                </a:pPr>
                <a:r>
                  <a:rPr lang="ar-SA"/>
                  <a:t>السنة</a:t>
                </a:r>
              </a:p>
            </c:rich>
          </c:tx>
          <c:layout>
            <c:manualLayout>
              <c:xMode val="edge"/>
              <c:yMode val="edge"/>
              <c:x val="0.52676659528907921"/>
              <c:y val="0.78678678678678649"/>
            </c:manualLayout>
          </c:layout>
        </c:title>
        <c:numFmt formatCode="General" sourceLinked="1"/>
        <c:tickLblPos val="nextTo"/>
        <c:txPr>
          <a:bodyPr rot="0" vert="horz"/>
          <a:lstStyle/>
          <a:p>
            <a:pPr>
              <a:defRPr/>
            </a:pPr>
            <a:endParaRPr lang="ar-SA"/>
          </a:p>
        </c:txPr>
        <c:crossAx val="78167040"/>
        <c:crosses val="autoZero"/>
        <c:auto val="1"/>
        <c:lblAlgn val="ctr"/>
        <c:lblOffset val="100"/>
        <c:tickLblSkip val="1"/>
        <c:tickMarkSkip val="1"/>
      </c:catAx>
      <c:valAx>
        <c:axId val="78167040"/>
        <c:scaling>
          <c:orientation val="minMax"/>
        </c:scaling>
        <c:axPos val="l"/>
        <c:majorGridlines/>
        <c:title>
          <c:tx>
            <c:rich>
              <a:bodyPr/>
              <a:lstStyle/>
              <a:p>
                <a:pPr>
                  <a:defRPr/>
                </a:pPr>
                <a:r>
                  <a:rPr lang="ar-SA"/>
                  <a:t>نصيب الفرد</a:t>
                </a:r>
              </a:p>
              <a:p>
                <a:pPr>
                  <a:defRPr/>
                </a:pPr>
                <a:r>
                  <a:rPr lang="ar-SA"/>
                  <a:t>من اجمالي الناتج المحلي</a:t>
                </a:r>
              </a:p>
            </c:rich>
          </c:tx>
          <c:layout>
            <c:manualLayout>
              <c:xMode val="edge"/>
              <c:yMode val="edge"/>
              <c:x val="2.5695931477517833E-2"/>
              <c:y val="0.18918918918919986"/>
            </c:manualLayout>
          </c:layout>
        </c:title>
        <c:numFmt formatCode="#,##0" sourceLinked="0"/>
        <c:tickLblPos val="nextTo"/>
        <c:txPr>
          <a:bodyPr rot="0" vert="horz"/>
          <a:lstStyle/>
          <a:p>
            <a:pPr>
              <a:defRPr/>
            </a:pPr>
            <a:endParaRPr lang="ar-SA"/>
          </a:p>
        </c:txPr>
        <c:crossAx val="78164352"/>
        <c:crosses val="autoZero"/>
        <c:crossBetween val="between"/>
      </c:valAx>
    </c:plotArea>
    <c:legend>
      <c:legendPos val="b"/>
      <c:layout>
        <c:manualLayout>
          <c:xMode val="edge"/>
          <c:yMode val="edge"/>
          <c:x val="0.14132762312633834"/>
          <c:y val="0.88288288288288286"/>
          <c:w val="0.73475846965671165"/>
          <c:h val="8.0433721295042213E-2"/>
        </c:manualLayout>
      </c:layout>
    </c:legend>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0720720720721333"/>
          <c:y val="4.0677966101694885E-2"/>
          <c:w val="0.77252252252252263"/>
          <c:h val="0.76271186440681105"/>
        </c:manualLayout>
      </c:layout>
      <c:lineChart>
        <c:grouping val="standard"/>
        <c:ser>
          <c:idx val="0"/>
          <c:order val="0"/>
          <c:tx>
            <c:strRef>
              <c:f>Sheet3!$B$78</c:f>
              <c:strCache>
                <c:ptCount val="1"/>
                <c:pt idx="0">
                  <c:v>اجمالي الايرادات</c:v>
                </c:pt>
              </c:strCache>
            </c:strRef>
          </c:tx>
          <c:marker>
            <c:symbol val="none"/>
          </c:marker>
          <c:dLbls>
            <c:dLbl>
              <c:idx val="0"/>
              <c:layout>
                <c:manualLayout>
                  <c:x val="-3.6900369003690051E-2"/>
                  <c:y val="3.9344262295081971E-2"/>
                </c:manualLayout>
              </c:layout>
              <c:spPr/>
              <c:txPr>
                <a:bodyPr/>
                <a:lstStyle/>
                <a:p>
                  <a:pPr>
                    <a:defRPr/>
                  </a:pPr>
                  <a:endParaRPr lang="ar-SA"/>
                </a:p>
              </c:txPr>
              <c:dLblPos val="r"/>
              <c:showVal val="1"/>
            </c:dLbl>
            <c:dLbl>
              <c:idx val="7"/>
              <c:layout>
                <c:manualLayout>
                  <c:x val="-4.6989720998531832E-2"/>
                  <c:y val="0.10054644808743179"/>
                </c:manualLayout>
              </c:layout>
              <c:spPr/>
              <c:txPr>
                <a:bodyPr/>
                <a:lstStyle/>
                <a:p>
                  <a:pPr>
                    <a:defRPr/>
                  </a:pPr>
                  <a:endParaRPr lang="ar-SA"/>
                </a:p>
              </c:txPr>
              <c:dLblPos val="r"/>
              <c:showVal val="1"/>
            </c:dLbl>
            <c:delete val="1"/>
          </c:dLbls>
          <c:cat>
            <c:numRef>
              <c:f>Sheet3!$A$79:$A$86</c:f>
              <c:numCache>
                <c:formatCode>General</c:formatCode>
                <c:ptCount val="8"/>
                <c:pt idx="0">
                  <c:v>2004</c:v>
                </c:pt>
                <c:pt idx="1">
                  <c:v>2005</c:v>
                </c:pt>
                <c:pt idx="2">
                  <c:v>2006</c:v>
                </c:pt>
                <c:pt idx="3">
                  <c:v>2007</c:v>
                </c:pt>
                <c:pt idx="4">
                  <c:v>2008</c:v>
                </c:pt>
                <c:pt idx="5">
                  <c:v>2009</c:v>
                </c:pt>
                <c:pt idx="6">
                  <c:v>2010</c:v>
                </c:pt>
                <c:pt idx="7">
                  <c:v>2011</c:v>
                </c:pt>
              </c:numCache>
            </c:numRef>
          </c:cat>
          <c:val>
            <c:numRef>
              <c:f>Sheet3!$B$79:$B$86</c:f>
              <c:numCache>
                <c:formatCode>#,##0.0</c:formatCode>
                <c:ptCount val="8"/>
                <c:pt idx="0">
                  <c:v>954</c:v>
                </c:pt>
                <c:pt idx="1">
                  <c:v>1233</c:v>
                </c:pt>
                <c:pt idx="2">
                  <c:v>1148</c:v>
                </c:pt>
                <c:pt idx="3">
                  <c:v>1195</c:v>
                </c:pt>
                <c:pt idx="4">
                  <c:v>1765.2</c:v>
                </c:pt>
                <c:pt idx="5">
                  <c:v>1597.5</c:v>
                </c:pt>
                <c:pt idx="6">
                  <c:v>1927.8</c:v>
                </c:pt>
                <c:pt idx="7">
                  <c:v>2044.9</c:v>
                </c:pt>
              </c:numCache>
            </c:numRef>
          </c:val>
        </c:ser>
        <c:ser>
          <c:idx val="1"/>
          <c:order val="1"/>
          <c:tx>
            <c:strRef>
              <c:f>Sheet3!$C$78</c:f>
              <c:strCache>
                <c:ptCount val="1"/>
                <c:pt idx="0">
                  <c:v>النفقات</c:v>
                </c:pt>
              </c:strCache>
            </c:strRef>
          </c:tx>
          <c:spPr>
            <a:ln>
              <a:prstDash val="sysDot"/>
            </a:ln>
          </c:spPr>
          <c:marker>
            <c:symbol val="none"/>
          </c:marker>
          <c:dLbls>
            <c:dLbl>
              <c:idx val="0"/>
              <c:layout>
                <c:manualLayout>
                  <c:x val="-5.1660516605166053E-2"/>
                  <c:y val="-5.6830601092897032E-2"/>
                </c:manualLayout>
              </c:layout>
              <c:spPr/>
              <c:txPr>
                <a:bodyPr/>
                <a:lstStyle/>
                <a:p>
                  <a:pPr>
                    <a:defRPr/>
                  </a:pPr>
                  <a:endParaRPr lang="ar-SA"/>
                </a:p>
              </c:txPr>
              <c:dLblPos val="r"/>
              <c:showVal val="1"/>
            </c:dLbl>
            <c:dLbl>
              <c:idx val="7"/>
              <c:layout>
                <c:manualLayout>
                  <c:x val="-5.2863436123351142E-2"/>
                  <c:y val="-5.2459016393442623E-2"/>
                </c:manualLayout>
              </c:layout>
              <c:spPr/>
              <c:txPr>
                <a:bodyPr/>
                <a:lstStyle/>
                <a:p>
                  <a:pPr>
                    <a:defRPr/>
                  </a:pPr>
                  <a:endParaRPr lang="ar-SA"/>
                </a:p>
              </c:txPr>
              <c:dLblPos val="r"/>
              <c:showVal val="1"/>
            </c:dLbl>
            <c:delete val="1"/>
          </c:dLbls>
          <c:cat>
            <c:numRef>
              <c:f>Sheet3!$A$79:$A$86</c:f>
              <c:numCache>
                <c:formatCode>General</c:formatCode>
                <c:ptCount val="8"/>
                <c:pt idx="0">
                  <c:v>2004</c:v>
                </c:pt>
                <c:pt idx="1">
                  <c:v>2005</c:v>
                </c:pt>
                <c:pt idx="2">
                  <c:v>2006</c:v>
                </c:pt>
                <c:pt idx="3">
                  <c:v>2007</c:v>
                </c:pt>
                <c:pt idx="4">
                  <c:v>2008</c:v>
                </c:pt>
                <c:pt idx="5">
                  <c:v>2009</c:v>
                </c:pt>
                <c:pt idx="6">
                  <c:v>2010</c:v>
                </c:pt>
                <c:pt idx="7">
                  <c:v>2011</c:v>
                </c:pt>
              </c:numCache>
            </c:numRef>
          </c:cat>
          <c:val>
            <c:numRef>
              <c:f>Sheet3!$C$79:$C$86</c:f>
              <c:numCache>
                <c:formatCode>#,##0.0</c:formatCode>
                <c:ptCount val="8"/>
                <c:pt idx="0">
                  <c:v>1528</c:v>
                </c:pt>
                <c:pt idx="1">
                  <c:v>1994</c:v>
                </c:pt>
                <c:pt idx="2">
                  <c:v>2310</c:v>
                </c:pt>
                <c:pt idx="3">
                  <c:v>2544</c:v>
                </c:pt>
                <c:pt idx="4">
                  <c:v>2885.6</c:v>
                </c:pt>
                <c:pt idx="5">
                  <c:v>3189.8</c:v>
                </c:pt>
                <c:pt idx="6">
                  <c:v>3076.8</c:v>
                </c:pt>
                <c:pt idx="7">
                  <c:v>3323.2</c:v>
                </c:pt>
              </c:numCache>
            </c:numRef>
          </c:val>
        </c:ser>
        <c:ser>
          <c:idx val="2"/>
          <c:order val="2"/>
          <c:tx>
            <c:strRef>
              <c:f>Sheet3!$E$78</c:f>
              <c:strCache>
                <c:ptCount val="1"/>
                <c:pt idx="0">
                  <c:v>العجز</c:v>
                </c:pt>
              </c:strCache>
            </c:strRef>
          </c:tx>
          <c:spPr>
            <a:ln>
              <a:prstDash val="dashDot"/>
            </a:ln>
          </c:spPr>
          <c:marker>
            <c:symbol val="none"/>
          </c:marker>
          <c:dLbls>
            <c:dLbl>
              <c:idx val="0"/>
              <c:layout>
                <c:manualLayout>
                  <c:x val="-5.1660516605166053E-2"/>
                  <c:y val="7.8688524590163941E-2"/>
                </c:manualLayout>
              </c:layout>
              <c:spPr/>
              <c:txPr>
                <a:bodyPr/>
                <a:lstStyle/>
                <a:p>
                  <a:pPr>
                    <a:defRPr/>
                  </a:pPr>
                  <a:endParaRPr lang="ar-SA"/>
                </a:p>
              </c:txPr>
              <c:dLblPos val="r"/>
              <c:showVal val="1"/>
            </c:dLbl>
            <c:dLbl>
              <c:idx val="7"/>
              <c:layout>
                <c:manualLayout>
                  <c:x val="-4.9200492004920104E-2"/>
                  <c:y val="5.2459016393442623E-2"/>
                </c:manualLayout>
              </c:layout>
              <c:spPr/>
              <c:txPr>
                <a:bodyPr/>
                <a:lstStyle/>
                <a:p>
                  <a:pPr>
                    <a:defRPr/>
                  </a:pPr>
                  <a:endParaRPr lang="ar-SA"/>
                </a:p>
              </c:txPr>
              <c:dLblPos val="r"/>
              <c:showVal val="1"/>
            </c:dLbl>
            <c:delete val="1"/>
          </c:dLbls>
          <c:cat>
            <c:numRef>
              <c:f>Sheet3!$A$79:$A$86</c:f>
              <c:numCache>
                <c:formatCode>General</c:formatCode>
                <c:ptCount val="8"/>
                <c:pt idx="0">
                  <c:v>2004</c:v>
                </c:pt>
                <c:pt idx="1">
                  <c:v>2005</c:v>
                </c:pt>
                <c:pt idx="2">
                  <c:v>2006</c:v>
                </c:pt>
                <c:pt idx="3">
                  <c:v>2007</c:v>
                </c:pt>
                <c:pt idx="4">
                  <c:v>2008</c:v>
                </c:pt>
                <c:pt idx="5">
                  <c:v>2009</c:v>
                </c:pt>
                <c:pt idx="6">
                  <c:v>2010</c:v>
                </c:pt>
                <c:pt idx="7">
                  <c:v>2011</c:v>
                </c:pt>
              </c:numCache>
            </c:numRef>
          </c:cat>
          <c:val>
            <c:numRef>
              <c:f>Sheet3!$E$79:$E$86</c:f>
              <c:numCache>
                <c:formatCode>#,##0.0</c:formatCode>
                <c:ptCount val="8"/>
                <c:pt idx="0">
                  <c:v>-574</c:v>
                </c:pt>
                <c:pt idx="1">
                  <c:v>-761</c:v>
                </c:pt>
                <c:pt idx="2">
                  <c:v>-1162</c:v>
                </c:pt>
                <c:pt idx="3">
                  <c:v>-1349</c:v>
                </c:pt>
                <c:pt idx="4">
                  <c:v>-1120.4000000000001</c:v>
                </c:pt>
                <c:pt idx="5">
                  <c:v>-1592.3</c:v>
                </c:pt>
                <c:pt idx="6">
                  <c:v>-1149</c:v>
                </c:pt>
                <c:pt idx="7">
                  <c:v>-1278.3</c:v>
                </c:pt>
              </c:numCache>
            </c:numRef>
          </c:val>
        </c:ser>
        <c:marker val="1"/>
        <c:axId val="113308800"/>
        <c:axId val="113310720"/>
      </c:lineChart>
      <c:catAx>
        <c:axId val="113308800"/>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54756879821840454"/>
              <c:y val="0.81818191691555864"/>
            </c:manualLayout>
          </c:layout>
        </c:title>
        <c:numFmt formatCode="General" sourceLinked="1"/>
        <c:tickLblPos val="nextTo"/>
        <c:txPr>
          <a:bodyPr rot="0" vert="horz"/>
          <a:lstStyle/>
          <a:p>
            <a:pPr>
              <a:defRPr/>
            </a:pPr>
            <a:endParaRPr lang="ar-SA"/>
          </a:p>
        </c:txPr>
        <c:crossAx val="113310720"/>
        <c:crosses val="autoZero"/>
        <c:auto val="1"/>
        <c:lblAlgn val="ctr"/>
        <c:lblOffset val="100"/>
        <c:tickLblSkip val="1"/>
        <c:tickMarkSkip val="1"/>
      </c:catAx>
      <c:valAx>
        <c:axId val="113310720"/>
        <c:scaling>
          <c:orientation val="minMax"/>
        </c:scaling>
        <c:axPos val="l"/>
        <c:majorGridlines/>
        <c:title>
          <c:tx>
            <c:rich>
              <a:bodyPr/>
              <a:lstStyle/>
              <a:p>
                <a:pPr>
                  <a:defRPr sz="1000" b="1" i="0" u="none" strike="noStrike" baseline="0">
                    <a:solidFill>
                      <a:srgbClr val="000000"/>
                    </a:solidFill>
                    <a:latin typeface="Arial"/>
                    <a:ea typeface="Arial"/>
                    <a:cs typeface="Arial"/>
                  </a:defRPr>
                </a:pPr>
                <a:r>
                  <a:rPr lang="ar-SA"/>
                  <a:t>الموازنة العامة</a:t>
                </a:r>
              </a:p>
            </c:rich>
          </c:tx>
          <c:layout>
            <c:manualLayout>
              <c:xMode val="edge"/>
              <c:yMode val="edge"/>
              <c:x val="1.4799172830668901E-2"/>
              <c:y val="0.32996615078287994"/>
            </c:manualLayout>
          </c:layout>
        </c:title>
        <c:numFmt formatCode="#,##0" sourceLinked="0"/>
        <c:tickLblPos val="nextTo"/>
        <c:txPr>
          <a:bodyPr rot="0" vert="horz"/>
          <a:lstStyle/>
          <a:p>
            <a:pPr>
              <a:defRPr/>
            </a:pPr>
            <a:endParaRPr lang="ar-SA"/>
          </a:p>
        </c:txPr>
        <c:crossAx val="113308800"/>
        <c:crosses val="autoZero"/>
        <c:crossBetween val="between"/>
      </c:valAx>
    </c:plotArea>
    <c:legend>
      <c:legendPos val="b"/>
      <c:layout>
        <c:manualLayout>
          <c:xMode val="edge"/>
          <c:yMode val="edge"/>
          <c:x val="0.2972973832816353"/>
          <c:y val="0.88813575889220342"/>
          <c:w val="0.54279288952517724"/>
          <c:h val="7.4576160738528574E-2"/>
        </c:manualLayout>
      </c:layout>
    </c:legend>
    <c:plotVisOnly val="1"/>
    <c:dispBlanksAs val="gap"/>
  </c:chart>
  <c:externalData r:id="rId2"/>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5633187774597"/>
          <c:y val="4.7297297297297584E-2"/>
          <c:w val="0.79039301310043664"/>
          <c:h val="0.75337837837840893"/>
        </c:manualLayout>
      </c:layout>
      <c:lineChart>
        <c:grouping val="standard"/>
        <c:ser>
          <c:idx val="0"/>
          <c:order val="0"/>
          <c:tx>
            <c:strRef>
              <c:f>Sheet1!$I$1</c:f>
              <c:strCache>
                <c:ptCount val="1"/>
                <c:pt idx="0">
                  <c:v>السنة</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
            <c:dLbl>
              <c:idx val="6"/>
              <c:numFmt formatCode="#,##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Val val="1"/>
            </c:dLbl>
            <c:delete val="1"/>
          </c:dLbls>
          <c:cat>
            <c:numRef>
              <c:f>Sheet1!$I$2:$I$9</c:f>
              <c:numCache>
                <c:formatCode>General</c:formatCode>
                <c:ptCount val="8"/>
                <c:pt idx="0">
                  <c:v>2004</c:v>
                </c:pt>
                <c:pt idx="1">
                  <c:v>2005</c:v>
                </c:pt>
                <c:pt idx="2">
                  <c:v>2006</c:v>
                </c:pt>
                <c:pt idx="3">
                  <c:v>2007</c:v>
                </c:pt>
                <c:pt idx="4">
                  <c:v>2008</c:v>
                </c:pt>
                <c:pt idx="5">
                  <c:v>2009</c:v>
                </c:pt>
                <c:pt idx="6">
                  <c:v>2010</c:v>
                </c:pt>
                <c:pt idx="7">
                  <c:v>2011</c:v>
                </c:pt>
              </c:numCache>
            </c:numRef>
          </c:cat>
          <c:val>
            <c:numRef>
              <c:f>Sheet1!$I$2:$I$9</c:f>
              <c:numCache>
                <c:formatCode>General</c:formatCode>
                <c:ptCount val="8"/>
                <c:pt idx="0">
                  <c:v>2004</c:v>
                </c:pt>
                <c:pt idx="1">
                  <c:v>2005</c:v>
                </c:pt>
                <c:pt idx="2">
                  <c:v>2006</c:v>
                </c:pt>
                <c:pt idx="3">
                  <c:v>2007</c:v>
                </c:pt>
                <c:pt idx="4">
                  <c:v>2008</c:v>
                </c:pt>
                <c:pt idx="5">
                  <c:v>2009</c:v>
                </c:pt>
                <c:pt idx="6">
                  <c:v>2010</c:v>
                </c:pt>
                <c:pt idx="7">
                  <c:v>2011</c:v>
                </c:pt>
              </c:numCache>
            </c:numRef>
          </c:val>
        </c:ser>
        <c:ser>
          <c:idx val="1"/>
          <c:order val="1"/>
          <c:tx>
            <c:strRef>
              <c:f>Sheet1!$J$1</c:f>
              <c:strCache>
                <c:ptCount val="1"/>
                <c:pt idx="0">
                  <c:v>عدد الرخص</c:v>
                </c:pt>
              </c:strCache>
            </c:strRef>
          </c:tx>
          <c:marker>
            <c:symbol val="none"/>
          </c:marker>
          <c:dLbls>
            <c:dLbl>
              <c:idx val="1"/>
              <c:delete val="1"/>
            </c:dLbl>
            <c:dLbl>
              <c:idx val="2"/>
              <c:delete val="1"/>
            </c:dLbl>
            <c:dLbl>
              <c:idx val="3"/>
              <c:delete val="1"/>
            </c:dLbl>
            <c:dLbl>
              <c:idx val="4"/>
              <c:delete val="1"/>
            </c:dLbl>
            <c:dLbl>
              <c:idx val="5"/>
              <c:delete val="1"/>
            </c:dLbl>
            <c:dLbl>
              <c:idx val="6"/>
              <c:delete val="1"/>
            </c:dLbl>
            <c:dLbl>
              <c:idx val="7"/>
              <c:layout>
                <c:manualLayout>
                  <c:x val="-3.4188034188034191E-2"/>
                  <c:y val="0.12200435729847499"/>
                </c:manualLayout>
              </c:layout>
              <c:spPr/>
              <c:txPr>
                <a:bodyPr/>
                <a:lstStyle/>
                <a:p>
                  <a:pPr>
                    <a:defRPr/>
                  </a:pPr>
                  <a:endParaRPr lang="ar-SA"/>
                </a:p>
              </c:txPr>
              <c:dLblPos val="r"/>
              <c:showVal val="1"/>
            </c:dLbl>
            <c:showVal val="1"/>
          </c:dLbls>
          <c:cat>
            <c:numRef>
              <c:f>Sheet1!$I$2:$I$9</c:f>
              <c:numCache>
                <c:formatCode>General</c:formatCode>
                <c:ptCount val="8"/>
                <c:pt idx="0">
                  <c:v>2004</c:v>
                </c:pt>
                <c:pt idx="1">
                  <c:v>2005</c:v>
                </c:pt>
                <c:pt idx="2">
                  <c:v>2006</c:v>
                </c:pt>
                <c:pt idx="3">
                  <c:v>2007</c:v>
                </c:pt>
                <c:pt idx="4">
                  <c:v>2008</c:v>
                </c:pt>
                <c:pt idx="5">
                  <c:v>2009</c:v>
                </c:pt>
                <c:pt idx="6">
                  <c:v>2010</c:v>
                </c:pt>
                <c:pt idx="7">
                  <c:v>2011</c:v>
                </c:pt>
              </c:numCache>
            </c:numRef>
          </c:cat>
          <c:val>
            <c:numRef>
              <c:f>Sheet1!$J$2:$J$9</c:f>
              <c:numCache>
                <c:formatCode>#,##0</c:formatCode>
                <c:ptCount val="8"/>
                <c:pt idx="0">
                  <c:v>5008</c:v>
                </c:pt>
                <c:pt idx="1">
                  <c:v>7108</c:v>
                </c:pt>
                <c:pt idx="2">
                  <c:v>6061</c:v>
                </c:pt>
                <c:pt idx="3">
                  <c:v>4488</c:v>
                </c:pt>
                <c:pt idx="4">
                  <c:v>4546</c:v>
                </c:pt>
                <c:pt idx="5">
                  <c:v>5383</c:v>
                </c:pt>
                <c:pt idx="6">
                  <c:v>6332</c:v>
                </c:pt>
                <c:pt idx="7">
                  <c:v>7708</c:v>
                </c:pt>
              </c:numCache>
            </c:numRef>
          </c:val>
        </c:ser>
        <c:marker val="1"/>
        <c:axId val="113415680"/>
        <c:axId val="113417600"/>
      </c:lineChart>
      <c:catAx>
        <c:axId val="113415680"/>
        <c:scaling>
          <c:orientation val="minMax"/>
        </c:scaling>
        <c:axPos val="b"/>
        <c:majorGridlines>
          <c:spPr>
            <a:ln w="3175">
              <a:solidFill>
                <a:srgbClr val="000000"/>
              </a:solidFill>
              <a:prstDash val="solid"/>
            </a:ln>
          </c:spPr>
        </c:majorGridlines>
        <c:title>
          <c:tx>
            <c:rich>
              <a:bodyPr/>
              <a:lstStyle/>
              <a:p>
                <a:pPr>
                  <a:defRPr sz="925" b="1" i="0" u="none" strike="noStrike" baseline="0">
                    <a:solidFill>
                      <a:srgbClr val="000000"/>
                    </a:solidFill>
                    <a:latin typeface="Arial"/>
                    <a:ea typeface="Arial"/>
                    <a:cs typeface="Arial"/>
                  </a:defRPr>
                </a:pPr>
                <a:r>
                  <a:rPr lang="ar-SA"/>
                  <a:t>السنة</a:t>
                </a:r>
              </a:p>
            </c:rich>
          </c:tx>
          <c:layout>
            <c:manualLayout>
              <c:xMode val="edge"/>
              <c:yMode val="edge"/>
              <c:x val="0.54148468941382333"/>
              <c:y val="0.89189188045043122"/>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13417600"/>
        <c:crosses val="autoZero"/>
        <c:auto val="1"/>
        <c:lblAlgn val="ctr"/>
        <c:lblOffset val="100"/>
        <c:tickLblSkip val="1"/>
        <c:tickMarkSkip val="1"/>
      </c:catAx>
      <c:valAx>
        <c:axId val="113417600"/>
        <c:scaling>
          <c:orientation val="minMax"/>
          <c:min val="3000"/>
        </c:scaling>
        <c:axPos val="l"/>
        <c:majorGridlines>
          <c:spPr>
            <a:ln w="3175">
              <a:solidFill>
                <a:srgbClr val="000000"/>
              </a:solidFill>
              <a:prstDash val="solid"/>
            </a:ln>
          </c:spPr>
        </c:majorGridlines>
        <c:title>
          <c:tx>
            <c:rich>
              <a:bodyPr/>
              <a:lstStyle/>
              <a:p>
                <a:pPr>
                  <a:defRPr sz="925" b="1" i="0" u="none" strike="noStrike" baseline="0">
                    <a:solidFill>
                      <a:srgbClr val="000000"/>
                    </a:solidFill>
                    <a:latin typeface="Simplified Arabic"/>
                    <a:ea typeface="Simplified Arabic"/>
                    <a:cs typeface="Simplified Arabic"/>
                  </a:defRPr>
                </a:pPr>
                <a:r>
                  <a:rPr lang="ar-SA"/>
                  <a:t>عدد الرخص الصادرة</a:t>
                </a:r>
              </a:p>
            </c:rich>
          </c:tx>
          <c:layout>
            <c:manualLayout>
              <c:xMode val="edge"/>
              <c:yMode val="edge"/>
              <c:x val="1.5283902012248468E-2"/>
              <c:y val="0.27364871729743667"/>
            </c:manualLayout>
          </c:layout>
          <c:spPr>
            <a:noFill/>
            <a:ln w="25398">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13415680"/>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ar-SA"/>
    </a:p>
  </c:txPr>
  <c:externalData r:id="rId2"/>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000000000000024"/>
          <c:y val="7.7192982456144907E-2"/>
          <c:w val="0.83200000000000063"/>
          <c:h val="0.64912280701754665"/>
        </c:manualLayout>
      </c:layout>
      <c:lineChart>
        <c:grouping val="standard"/>
        <c:ser>
          <c:idx val="1"/>
          <c:order val="0"/>
          <c:tx>
            <c:strRef>
              <c:f>Sheet1!$E$11</c:f>
              <c:strCache>
                <c:ptCount val="1"/>
                <c:pt idx="0">
                  <c:v>الضفة الغربية</c:v>
                </c:pt>
              </c:strCache>
            </c:strRef>
          </c:tx>
          <c:marker>
            <c:symbol val="none"/>
          </c:marker>
          <c:cat>
            <c:numRef>
              <c:f>Sheet1!$F$10:$M$10</c:f>
              <c:numCache>
                <c:formatCode>0</c:formatCode>
                <c:ptCount val="8"/>
                <c:pt idx="0">
                  <c:v>2004</c:v>
                </c:pt>
                <c:pt idx="1">
                  <c:v>2005</c:v>
                </c:pt>
                <c:pt idx="2">
                  <c:v>2006</c:v>
                </c:pt>
                <c:pt idx="3">
                  <c:v>2007</c:v>
                </c:pt>
                <c:pt idx="4">
                  <c:v>2008</c:v>
                </c:pt>
                <c:pt idx="5">
                  <c:v>2009</c:v>
                </c:pt>
                <c:pt idx="6">
                  <c:v>2010</c:v>
                </c:pt>
                <c:pt idx="7">
                  <c:v>2011</c:v>
                </c:pt>
              </c:numCache>
            </c:numRef>
          </c:cat>
          <c:val>
            <c:numRef>
              <c:f>Sheet1!$F$11:$M$11</c:f>
              <c:numCache>
                <c:formatCode>0.0</c:formatCode>
                <c:ptCount val="8"/>
                <c:pt idx="0">
                  <c:v>832.8</c:v>
                </c:pt>
                <c:pt idx="1">
                  <c:v>1129.8</c:v>
                </c:pt>
                <c:pt idx="2">
                  <c:v>1101.0999999999999</c:v>
                </c:pt>
                <c:pt idx="3">
                  <c:v>1067.8</c:v>
                </c:pt>
                <c:pt idx="4">
                  <c:v>977.6</c:v>
                </c:pt>
                <c:pt idx="5">
                  <c:v>1230</c:v>
                </c:pt>
                <c:pt idx="6">
                  <c:v>1340.1</c:v>
                </c:pt>
                <c:pt idx="7">
                  <c:v>1281.8</c:v>
                </c:pt>
              </c:numCache>
            </c:numRef>
          </c:val>
        </c:ser>
        <c:ser>
          <c:idx val="2"/>
          <c:order val="1"/>
          <c:tx>
            <c:strRef>
              <c:f>Sheet1!$E$12</c:f>
              <c:strCache>
                <c:ptCount val="1"/>
                <c:pt idx="0">
                  <c:v>قطاع غزة</c:v>
                </c:pt>
              </c:strCache>
            </c:strRef>
          </c:tx>
          <c:spPr>
            <a:ln>
              <a:prstDash val="sysDot"/>
            </a:ln>
          </c:spPr>
          <c:marker>
            <c:symbol val="none"/>
          </c:marker>
          <c:cat>
            <c:numRef>
              <c:f>Sheet1!$F$10:$M$10</c:f>
              <c:numCache>
                <c:formatCode>0</c:formatCode>
                <c:ptCount val="8"/>
                <c:pt idx="0">
                  <c:v>2004</c:v>
                </c:pt>
                <c:pt idx="1">
                  <c:v>2005</c:v>
                </c:pt>
                <c:pt idx="2">
                  <c:v>2006</c:v>
                </c:pt>
                <c:pt idx="3">
                  <c:v>2007</c:v>
                </c:pt>
                <c:pt idx="4">
                  <c:v>2008</c:v>
                </c:pt>
                <c:pt idx="5">
                  <c:v>2009</c:v>
                </c:pt>
                <c:pt idx="6">
                  <c:v>2010</c:v>
                </c:pt>
                <c:pt idx="7">
                  <c:v>2011</c:v>
                </c:pt>
              </c:numCache>
            </c:numRef>
          </c:cat>
          <c:val>
            <c:numRef>
              <c:f>Sheet1!$F$12:$M$12</c:f>
              <c:numCache>
                <c:formatCode>0.0</c:formatCode>
                <c:ptCount val="8"/>
                <c:pt idx="0">
                  <c:v>453.94600000000003</c:v>
                </c:pt>
                <c:pt idx="1">
                  <c:v>619.10400000000004</c:v>
                </c:pt>
                <c:pt idx="2">
                  <c:v>269.67572999999999</c:v>
                </c:pt>
                <c:pt idx="3">
                  <c:v>226.53700000000001</c:v>
                </c:pt>
                <c:pt idx="4">
                  <c:v>15.341000000000001</c:v>
                </c:pt>
                <c:pt idx="5">
                  <c:v>0</c:v>
                </c:pt>
                <c:pt idx="6">
                  <c:v>4.258</c:v>
                </c:pt>
                <c:pt idx="7">
                  <c:v>44.6</c:v>
                </c:pt>
              </c:numCache>
            </c:numRef>
          </c:val>
        </c:ser>
        <c:marker val="1"/>
        <c:axId val="113433984"/>
        <c:axId val="113538560"/>
      </c:lineChart>
      <c:catAx>
        <c:axId val="113433984"/>
        <c:scaling>
          <c:orientation val="minMax"/>
        </c:scaling>
        <c:axPos val="b"/>
        <c:majorGridlines/>
        <c:title>
          <c:tx>
            <c:rich>
              <a:bodyPr/>
              <a:lstStyle/>
              <a:p>
                <a:pPr>
                  <a:defRPr sz="1000" b="1" i="0" u="none" strike="noStrike" baseline="0">
                    <a:solidFill>
                      <a:srgbClr val="000000"/>
                    </a:solidFill>
                    <a:latin typeface="Arial"/>
                    <a:ea typeface="Arial"/>
                    <a:cs typeface="Arial"/>
                  </a:defRPr>
                </a:pPr>
                <a:r>
                  <a:rPr lang="ar-SA"/>
                  <a:t>السنة</a:t>
                </a:r>
              </a:p>
            </c:rich>
          </c:tx>
          <c:layout>
            <c:manualLayout>
              <c:xMode val="edge"/>
              <c:yMode val="edge"/>
              <c:x val="0.54"/>
              <c:y val="0.82807015402144502"/>
            </c:manualLayout>
          </c:layout>
        </c:title>
        <c:numFmt formatCode="0" sourceLinked="1"/>
        <c:tickLblPos val="nextTo"/>
        <c:txPr>
          <a:bodyPr rot="0" vert="horz"/>
          <a:lstStyle/>
          <a:p>
            <a:pPr>
              <a:defRPr/>
            </a:pPr>
            <a:endParaRPr lang="ar-SA"/>
          </a:p>
        </c:txPr>
        <c:crossAx val="113538560"/>
        <c:crosses val="autoZero"/>
        <c:auto val="1"/>
        <c:lblAlgn val="ctr"/>
        <c:lblOffset val="100"/>
        <c:tickLblSkip val="1"/>
        <c:tickMarkSkip val="1"/>
      </c:catAx>
      <c:valAx>
        <c:axId val="113538560"/>
        <c:scaling>
          <c:orientation val="minMax"/>
        </c:scaling>
        <c:axPos val="l"/>
        <c:majorGridlines/>
        <c:title>
          <c:tx>
            <c:rich>
              <a:bodyPr/>
              <a:lstStyle/>
              <a:p>
                <a:pPr>
                  <a:defRPr sz="1000" b="1" i="0" u="none" strike="noStrike" baseline="0">
                    <a:solidFill>
                      <a:srgbClr val="000000"/>
                    </a:solidFill>
                    <a:latin typeface="Arial"/>
                    <a:ea typeface="Arial"/>
                    <a:cs typeface="Arial"/>
                  </a:defRPr>
                </a:pPr>
                <a:r>
                  <a:rPr lang="ar-SA"/>
                  <a:t>كمية الإسمنت بالألف طن</a:t>
                </a:r>
              </a:p>
            </c:rich>
          </c:tx>
          <c:layout>
            <c:manualLayout>
              <c:xMode val="edge"/>
              <c:yMode val="edge"/>
              <c:x val="2.4E-2"/>
              <c:y val="0.21052635862377669"/>
            </c:manualLayout>
          </c:layout>
        </c:title>
        <c:numFmt formatCode="0" sourceLinked="0"/>
        <c:tickLblPos val="nextTo"/>
        <c:txPr>
          <a:bodyPr rot="0" vert="horz"/>
          <a:lstStyle/>
          <a:p>
            <a:pPr>
              <a:defRPr/>
            </a:pPr>
            <a:endParaRPr lang="ar-SA"/>
          </a:p>
        </c:txPr>
        <c:crossAx val="113433984"/>
        <c:crosses val="autoZero"/>
        <c:crossBetween val="between"/>
      </c:valAx>
    </c:plotArea>
    <c:legend>
      <c:legendPos val="r"/>
      <c:layout>
        <c:manualLayout>
          <c:xMode val="edge"/>
          <c:yMode val="edge"/>
          <c:x val="0.38400000000000206"/>
          <c:y val="0.89473682068811555"/>
          <c:w val="0.37200000000000183"/>
          <c:h val="8.0701947140328328E-2"/>
        </c:manualLayout>
      </c:layout>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dLbls>
            <c:dLbl>
              <c:idx val="0"/>
              <c:layout>
                <c:manualLayout>
                  <c:x val="-9.4568414797207248E-2"/>
                  <c:y val="-0.11765610694012266"/>
                </c:manualLayout>
              </c:layout>
              <c:showCatName val="1"/>
              <c:showPercent val="1"/>
            </c:dLbl>
            <c:dLbl>
              <c:idx val="1"/>
              <c:layout>
                <c:manualLayout>
                  <c:x val="-0.13711021971310183"/>
                  <c:y val="-0.18168914932145144"/>
                </c:manualLayout>
              </c:layout>
              <c:tx>
                <c:rich>
                  <a:bodyPr/>
                  <a:lstStyle/>
                  <a:p>
                    <a:r>
                      <a:rPr lang="ar-SA"/>
                      <a:t>الصناعة 
14.2%</a:t>
                    </a:r>
                  </a:p>
                </c:rich>
              </c:tx>
              <c:showCatName val="1"/>
              <c:showPercent val="1"/>
            </c:dLbl>
            <c:dLbl>
              <c:idx val="2"/>
              <c:layout>
                <c:manualLayout>
                  <c:x val="-3.9665230525430056E-2"/>
                  <c:y val="-0.25735905104885148"/>
                </c:manualLayout>
              </c:layout>
              <c:showCatName val="1"/>
              <c:showPercent val="1"/>
            </c:dLbl>
            <c:dLbl>
              <c:idx val="3"/>
              <c:layout>
                <c:manualLayout>
                  <c:x val="-1.0954291090972121E-3"/>
                  <c:y val="0.16221164214938291"/>
                </c:manualLayout>
              </c:layout>
              <c:showCatName val="1"/>
              <c:showPercent val="1"/>
            </c:dLbl>
            <c:dLbl>
              <c:idx val="4"/>
              <c:layout>
                <c:manualLayout>
                  <c:x val="-0.1033414219448984"/>
                  <c:y val="0.20157927933426925"/>
                </c:manualLayout>
              </c:layout>
              <c:showCatName val="1"/>
              <c:showPercent val="1"/>
            </c:dLbl>
            <c:dLbl>
              <c:idx val="5"/>
              <c:layout>
                <c:manualLayout>
                  <c:x val="-0.17434226382079981"/>
                  <c:y val="9.3423263952471067E-2"/>
                </c:manualLayout>
              </c:layout>
              <c:showCatName val="1"/>
              <c:showPercent val="1"/>
            </c:dLbl>
            <c:dLbl>
              <c:idx val="6"/>
              <c:layout>
                <c:manualLayout>
                  <c:x val="-1.4252286645987445E-2"/>
                  <c:y val="0.13206616614784145"/>
                </c:manualLayout>
              </c:layout>
              <c:showCatName val="1"/>
              <c:showPercent val="1"/>
            </c:dLbl>
            <c:dLbl>
              <c:idx val="7"/>
              <c:layout>
                <c:manualLayout>
                  <c:x val="-1.9701381666914933E-2"/>
                  <c:y val="8.3746566562901248E-2"/>
                </c:manualLayout>
              </c:layout>
              <c:showCatName val="1"/>
              <c:showPercent val="1"/>
            </c:dLbl>
            <c:dLbl>
              <c:idx val="8"/>
              <c:layout>
                <c:manualLayout>
                  <c:x val="8.4004294917681244E-2"/>
                  <c:y val="-0.17084986469714541"/>
                </c:manualLayout>
              </c:layout>
              <c:showCatName val="1"/>
              <c:showPercent val="1"/>
            </c:dLbl>
            <c:dLbl>
              <c:idx val="9"/>
              <c:layout>
                <c:manualLayout>
                  <c:x val="0.11157084138067649"/>
                  <c:y val="-0.12891411829335286"/>
                </c:manualLayout>
              </c:layout>
              <c:showCatName val="1"/>
              <c:showPercent val="1"/>
            </c:dLbl>
            <c:numFmt formatCode="0.0%" sourceLinked="0"/>
            <c:txPr>
              <a:bodyPr/>
              <a:lstStyle/>
              <a:p>
                <a:pPr>
                  <a:defRPr sz="900"/>
                </a:pPr>
                <a:endParaRPr lang="ar-SA"/>
              </a:p>
            </c:txPr>
            <c:showCatName val="1"/>
            <c:showPercent val="1"/>
            <c:showLeaderLines val="1"/>
          </c:dLbls>
          <c:cat>
            <c:strRef>
              <c:f>Sheet1!$B$84:$B$93</c:f>
              <c:strCache>
                <c:ptCount val="10"/>
                <c:pt idx="0">
                  <c:v>الزراعة  </c:v>
                </c:pt>
                <c:pt idx="1">
                  <c:v>االصناعة </c:v>
                </c:pt>
                <c:pt idx="2">
                  <c:v>الانشاءات</c:v>
                </c:pt>
                <c:pt idx="3">
                  <c:v>تجارة الجملة والتجزئة</c:v>
                </c:pt>
                <c:pt idx="4">
                  <c:v>النقل والتخزين</c:v>
                </c:pt>
                <c:pt idx="5">
                  <c:v>المعلومات والاتصالات</c:v>
                </c:pt>
                <c:pt idx="6">
                  <c:v>الانشطة المالية</c:v>
                </c:pt>
                <c:pt idx="7">
                  <c:v>الخدمات</c:v>
                </c:pt>
                <c:pt idx="8">
                  <c:v>الإدارة العامة والدفاع</c:v>
                </c:pt>
                <c:pt idx="9">
                  <c:v>اخرى</c:v>
                </c:pt>
              </c:strCache>
            </c:strRef>
          </c:cat>
          <c:val>
            <c:numRef>
              <c:f>Sheet1!$C$84:$C$93</c:f>
              <c:numCache>
                <c:formatCode>#,##0.0</c:formatCode>
                <c:ptCount val="10"/>
                <c:pt idx="0">
                  <c:v>219.4</c:v>
                </c:pt>
                <c:pt idx="1">
                  <c:v>635.20000000000005</c:v>
                </c:pt>
                <c:pt idx="2">
                  <c:v>447.4</c:v>
                </c:pt>
                <c:pt idx="3">
                  <c:v>423</c:v>
                </c:pt>
                <c:pt idx="4">
                  <c:v>110.8</c:v>
                </c:pt>
                <c:pt idx="5">
                  <c:v>400</c:v>
                </c:pt>
                <c:pt idx="6">
                  <c:v>265.10000000000002</c:v>
                </c:pt>
                <c:pt idx="7">
                  <c:v>802.5</c:v>
                </c:pt>
                <c:pt idx="8">
                  <c:v>441.1</c:v>
                </c:pt>
                <c:pt idx="9">
                  <c:v>727.9</c:v>
                </c:pt>
              </c:numCache>
            </c:numRef>
          </c:val>
        </c:ser>
        <c:dLbls>
          <c:showCatName val="1"/>
          <c:showPercent val="1"/>
        </c:dLbls>
      </c:pie3D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dLbls>
            <c:dLbl>
              <c:idx val="0"/>
              <c:layout>
                <c:manualLayout>
                  <c:x val="-0.14553925857307445"/>
                  <c:y val="-0.11056384488903867"/>
                </c:manualLayout>
              </c:layout>
              <c:showCatName val="1"/>
              <c:showPercent val="1"/>
            </c:dLbl>
            <c:dLbl>
              <c:idx val="1"/>
              <c:layout>
                <c:manualLayout>
                  <c:x val="-0.10822362890913485"/>
                  <c:y val="-0.13636733151547362"/>
                </c:manualLayout>
              </c:layout>
              <c:showCatName val="1"/>
              <c:showPercent val="1"/>
            </c:dLbl>
            <c:dLbl>
              <c:idx val="2"/>
              <c:layout>
                <c:manualLayout>
                  <c:x val="-5.4096375208000994E-2"/>
                  <c:y val="-0.23620535759878294"/>
                </c:manualLayout>
              </c:layout>
              <c:showCatName val="1"/>
              <c:showPercent val="1"/>
            </c:dLbl>
            <c:dLbl>
              <c:idx val="3"/>
              <c:layout>
                <c:manualLayout>
                  <c:x val="-2.8140600072049816E-3"/>
                  <c:y val="0.14714543950488934"/>
                </c:manualLayout>
              </c:layout>
              <c:showCatName val="1"/>
              <c:showPercent val="1"/>
            </c:dLbl>
            <c:dLbl>
              <c:idx val="4"/>
              <c:layout>
                <c:manualLayout>
                  <c:x val="-1.5528451100475405E-3"/>
                  <c:y val="0.23077463566081477"/>
                </c:manualLayout>
              </c:layout>
              <c:showCatName val="1"/>
              <c:showPercent val="1"/>
            </c:dLbl>
            <c:dLbl>
              <c:idx val="5"/>
              <c:layout>
                <c:manualLayout>
                  <c:x val="-0.14011253495273876"/>
                  <c:y val="0.21143458235036017"/>
                </c:manualLayout>
              </c:layout>
              <c:showCatName val="1"/>
              <c:showPercent val="1"/>
            </c:dLbl>
            <c:dLbl>
              <c:idx val="6"/>
              <c:layout>
                <c:manualLayout>
                  <c:x val="-0.21029008628823603"/>
                  <c:y val="9.4663847952858746E-2"/>
                </c:manualLayout>
              </c:layout>
              <c:showCatName val="1"/>
              <c:showPercent val="1"/>
            </c:dLbl>
            <c:dLbl>
              <c:idx val="7"/>
              <c:layout>
                <c:manualLayout>
                  <c:x val="-0.11813939924176145"/>
                  <c:y val="1.4176087911190072E-2"/>
                </c:manualLayout>
              </c:layout>
              <c:showCatName val="1"/>
              <c:showPercent val="1"/>
            </c:dLbl>
            <c:dLbl>
              <c:idx val="8"/>
              <c:layout>
                <c:manualLayout>
                  <c:x val="-3.7519088523026906E-2"/>
                  <c:y val="-0.10483041759857838"/>
                </c:manualLayout>
              </c:layout>
              <c:showCatName val="1"/>
              <c:showPercent val="1"/>
            </c:dLbl>
            <c:dLbl>
              <c:idx val="9"/>
              <c:layout>
                <c:manualLayout>
                  <c:x val="-5.5013981095502221E-2"/>
                  <c:y val="-6.0261241663858156E-2"/>
                </c:manualLayout>
              </c:layout>
              <c:tx>
                <c:rich>
                  <a:bodyPr/>
                  <a:lstStyle/>
                  <a:p>
                    <a:r>
                      <a:rPr lang="ar-SA"/>
                      <a:t>اخرى
2.9%</a:t>
                    </a:r>
                  </a:p>
                </c:rich>
              </c:tx>
              <c:showCatName val="1"/>
              <c:showPercent val="1"/>
            </c:dLbl>
            <c:numFmt formatCode="0.0%" sourceLinked="0"/>
            <c:txPr>
              <a:bodyPr/>
              <a:lstStyle/>
              <a:p>
                <a:pPr>
                  <a:defRPr sz="900"/>
                </a:pPr>
                <a:endParaRPr lang="ar-SA"/>
              </a:p>
            </c:txPr>
            <c:showCatName val="1"/>
            <c:showPercent val="1"/>
            <c:showLeaderLines val="1"/>
          </c:dLbls>
          <c:cat>
            <c:strRef>
              <c:f>Sheet1!$B$97:$B$106</c:f>
              <c:strCache>
                <c:ptCount val="10"/>
                <c:pt idx="0">
                  <c:v>الزراعة  </c:v>
                </c:pt>
                <c:pt idx="1">
                  <c:v>الصناعة </c:v>
                </c:pt>
                <c:pt idx="2">
                  <c:v>الانشاءات</c:v>
                </c:pt>
                <c:pt idx="3">
                  <c:v>تجارة الجملة والتجزئة</c:v>
                </c:pt>
                <c:pt idx="4">
                  <c:v>النقل والتخزين</c:v>
                </c:pt>
                <c:pt idx="5">
                  <c:v>المعلومات والاتصالات</c:v>
                </c:pt>
                <c:pt idx="6">
                  <c:v>الانشطة المالية</c:v>
                </c:pt>
                <c:pt idx="7">
                  <c:v>الخدمات</c:v>
                </c:pt>
                <c:pt idx="8">
                  <c:v>الإدارة العامة والدفاع</c:v>
                </c:pt>
                <c:pt idx="9">
                  <c:v>اخرى</c:v>
                </c:pt>
              </c:strCache>
            </c:strRef>
          </c:cat>
          <c:val>
            <c:numRef>
              <c:f>Sheet1!$C$97:$C$106</c:f>
              <c:numCache>
                <c:formatCode>#,##0.0</c:formatCode>
                <c:ptCount val="10"/>
                <c:pt idx="0">
                  <c:v>126.7</c:v>
                </c:pt>
                <c:pt idx="1">
                  <c:v>163.5</c:v>
                </c:pt>
                <c:pt idx="2">
                  <c:v>260.8</c:v>
                </c:pt>
                <c:pt idx="3">
                  <c:v>164</c:v>
                </c:pt>
                <c:pt idx="4">
                  <c:v>22.5</c:v>
                </c:pt>
                <c:pt idx="5">
                  <c:v>4.8</c:v>
                </c:pt>
                <c:pt idx="6">
                  <c:v>33.800000000000004</c:v>
                </c:pt>
                <c:pt idx="7">
                  <c:v>579.5</c:v>
                </c:pt>
                <c:pt idx="8">
                  <c:v>442.9</c:v>
                </c:pt>
                <c:pt idx="9">
                  <c:v>52.1</c:v>
                </c:pt>
              </c:numCache>
            </c:numRef>
          </c:val>
        </c:ser>
        <c:dLbls>
          <c:showCatName val="1"/>
          <c:showPercent val="1"/>
        </c:dLbls>
      </c:pie3DChart>
    </c:plotArea>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711864406779674"/>
          <c:y val="4.3478260869565223E-2"/>
          <c:w val="0.79237288135590855"/>
          <c:h val="0.74247491638795982"/>
        </c:manualLayout>
      </c:layout>
      <c:lineChart>
        <c:grouping val="standard"/>
        <c:ser>
          <c:idx val="0"/>
          <c:order val="0"/>
          <c:tx>
            <c:strRef>
              <c:f>Sheet1!$B$1</c:f>
              <c:strCache>
                <c:ptCount val="1"/>
                <c:pt idx="0">
                  <c:v>الاراضي الفلسطينية</c:v>
                </c:pt>
              </c:strCache>
            </c:strRef>
          </c:tx>
          <c:marker>
            <c:symbol val="none"/>
          </c:marker>
          <c:dLbls>
            <c:dLbl>
              <c:idx val="0"/>
              <c:showVal val="1"/>
            </c:dLbl>
            <c:dLbl>
              <c:idx val="7"/>
              <c:layout>
                <c:manualLayout>
                  <c:x val="-4.1493775933609964E-2"/>
                  <c:y val="-1.2944983818770227E-2"/>
                </c:manualLayout>
              </c:layout>
              <c:showVal val="1"/>
            </c:dLbl>
            <c:delete val="1"/>
          </c:dLbls>
          <c:cat>
            <c:numRef>
              <c:f>Sheet1!$A$2:$A$9</c:f>
              <c:numCache>
                <c:formatCode>General</c:formatCode>
                <c:ptCount val="8"/>
                <c:pt idx="0">
                  <c:v>2004</c:v>
                </c:pt>
                <c:pt idx="1">
                  <c:v>2005</c:v>
                </c:pt>
                <c:pt idx="2">
                  <c:v>2006</c:v>
                </c:pt>
                <c:pt idx="3">
                  <c:v>2007</c:v>
                </c:pt>
                <c:pt idx="4">
                  <c:v>2008</c:v>
                </c:pt>
                <c:pt idx="5">
                  <c:v>2009</c:v>
                </c:pt>
                <c:pt idx="6">
                  <c:v>2010</c:v>
                </c:pt>
                <c:pt idx="7">
                  <c:v>2011</c:v>
                </c:pt>
              </c:numCache>
            </c:numRef>
          </c:cat>
          <c:val>
            <c:numRef>
              <c:f>Sheet1!$B$2:$B$9</c:f>
              <c:numCache>
                <c:formatCode>General</c:formatCode>
                <c:ptCount val="8"/>
                <c:pt idx="0">
                  <c:v>26.8</c:v>
                </c:pt>
                <c:pt idx="1">
                  <c:v>23.5</c:v>
                </c:pt>
                <c:pt idx="2">
                  <c:v>23.7</c:v>
                </c:pt>
                <c:pt idx="3">
                  <c:v>21.7</c:v>
                </c:pt>
                <c:pt idx="4">
                  <c:v>26.6</c:v>
                </c:pt>
                <c:pt idx="5">
                  <c:v>24.5</c:v>
                </c:pt>
                <c:pt idx="6">
                  <c:v>23.7</c:v>
                </c:pt>
                <c:pt idx="7">
                  <c:v>20.9</c:v>
                </c:pt>
              </c:numCache>
            </c:numRef>
          </c:val>
        </c:ser>
        <c:ser>
          <c:idx val="1"/>
          <c:order val="1"/>
          <c:tx>
            <c:strRef>
              <c:f>Sheet1!$C$1</c:f>
              <c:strCache>
                <c:ptCount val="1"/>
                <c:pt idx="0">
                  <c:v>الضفة الغربية</c:v>
                </c:pt>
              </c:strCache>
            </c:strRef>
          </c:tx>
          <c:spPr>
            <a:ln>
              <a:prstDash val="dashDot"/>
            </a:ln>
          </c:spPr>
          <c:marker>
            <c:symbol val="none"/>
          </c:marker>
          <c:dLbls>
            <c:dLbl>
              <c:idx val="0"/>
              <c:showVal val="1"/>
            </c:dLbl>
            <c:dLbl>
              <c:idx val="7"/>
              <c:layout>
                <c:manualLayout>
                  <c:x val="-4.1493775933609964E-2"/>
                  <c:y val="5.1779935275080895E-2"/>
                </c:manualLayout>
              </c:layout>
              <c:showVal val="1"/>
            </c:dLbl>
            <c:delete val="1"/>
          </c:dLbls>
          <c:cat>
            <c:numRef>
              <c:f>Sheet1!$A$2:$A$9</c:f>
              <c:numCache>
                <c:formatCode>General</c:formatCode>
                <c:ptCount val="8"/>
                <c:pt idx="0">
                  <c:v>2004</c:v>
                </c:pt>
                <c:pt idx="1">
                  <c:v>2005</c:v>
                </c:pt>
                <c:pt idx="2">
                  <c:v>2006</c:v>
                </c:pt>
                <c:pt idx="3">
                  <c:v>2007</c:v>
                </c:pt>
                <c:pt idx="4">
                  <c:v>2008</c:v>
                </c:pt>
                <c:pt idx="5">
                  <c:v>2009</c:v>
                </c:pt>
                <c:pt idx="6">
                  <c:v>2010</c:v>
                </c:pt>
                <c:pt idx="7">
                  <c:v>2011</c:v>
                </c:pt>
              </c:numCache>
            </c:numRef>
          </c:cat>
          <c:val>
            <c:numRef>
              <c:f>Sheet1!$C$2:$C$9</c:f>
              <c:numCache>
                <c:formatCode>General</c:formatCode>
                <c:ptCount val="8"/>
                <c:pt idx="0">
                  <c:v>22.8</c:v>
                </c:pt>
                <c:pt idx="1">
                  <c:v>20.399999999999999</c:v>
                </c:pt>
                <c:pt idx="2">
                  <c:v>18.8</c:v>
                </c:pt>
                <c:pt idx="3">
                  <c:v>17.899999999999999</c:v>
                </c:pt>
                <c:pt idx="4">
                  <c:v>19.7</c:v>
                </c:pt>
                <c:pt idx="5">
                  <c:v>17.8</c:v>
                </c:pt>
                <c:pt idx="6">
                  <c:v>17.2</c:v>
                </c:pt>
                <c:pt idx="7">
                  <c:v>17.3</c:v>
                </c:pt>
              </c:numCache>
            </c:numRef>
          </c:val>
        </c:ser>
        <c:ser>
          <c:idx val="2"/>
          <c:order val="2"/>
          <c:tx>
            <c:strRef>
              <c:f>Sheet1!$D$1</c:f>
              <c:strCache>
                <c:ptCount val="1"/>
                <c:pt idx="0">
                  <c:v>قطاع غزة</c:v>
                </c:pt>
              </c:strCache>
            </c:strRef>
          </c:tx>
          <c:spPr>
            <a:ln>
              <a:prstDash val="sysDot"/>
            </a:ln>
          </c:spPr>
          <c:marker>
            <c:symbol val="none"/>
          </c:marker>
          <c:dLbls>
            <c:dLbl>
              <c:idx val="0"/>
              <c:showVal val="1"/>
            </c:dLbl>
            <c:dLbl>
              <c:idx val="7"/>
              <c:layout>
                <c:manualLayout>
                  <c:x val="-5.2558782849239434E-2"/>
                  <c:y val="0"/>
                </c:manualLayout>
              </c:layout>
              <c:showVal val="1"/>
            </c:dLbl>
            <c:delete val="1"/>
          </c:dLbls>
          <c:cat>
            <c:numRef>
              <c:f>Sheet1!$A$2:$A$9</c:f>
              <c:numCache>
                <c:formatCode>General</c:formatCode>
                <c:ptCount val="8"/>
                <c:pt idx="0">
                  <c:v>2004</c:v>
                </c:pt>
                <c:pt idx="1">
                  <c:v>2005</c:v>
                </c:pt>
                <c:pt idx="2">
                  <c:v>2006</c:v>
                </c:pt>
                <c:pt idx="3">
                  <c:v>2007</c:v>
                </c:pt>
                <c:pt idx="4">
                  <c:v>2008</c:v>
                </c:pt>
                <c:pt idx="5">
                  <c:v>2009</c:v>
                </c:pt>
                <c:pt idx="6">
                  <c:v>2010</c:v>
                </c:pt>
                <c:pt idx="7">
                  <c:v>2011</c:v>
                </c:pt>
              </c:numCache>
            </c:numRef>
          </c:cat>
          <c:val>
            <c:numRef>
              <c:f>Sheet1!$D$2:$D$9</c:f>
              <c:numCache>
                <c:formatCode>General</c:formatCode>
                <c:ptCount val="8"/>
                <c:pt idx="0">
                  <c:v>35.300000000000004</c:v>
                </c:pt>
                <c:pt idx="1">
                  <c:v>30.3</c:v>
                </c:pt>
                <c:pt idx="2">
                  <c:v>34.800000000000004</c:v>
                </c:pt>
                <c:pt idx="3">
                  <c:v>29.7</c:v>
                </c:pt>
                <c:pt idx="4">
                  <c:v>40.6</c:v>
                </c:pt>
                <c:pt idx="5">
                  <c:v>38.6</c:v>
                </c:pt>
                <c:pt idx="6">
                  <c:v>37.800000000000004</c:v>
                </c:pt>
                <c:pt idx="7">
                  <c:v>28.7</c:v>
                </c:pt>
              </c:numCache>
            </c:numRef>
          </c:val>
        </c:ser>
        <c:marker val="1"/>
        <c:axId val="71429504"/>
        <c:axId val="71304704"/>
      </c:lineChart>
      <c:catAx>
        <c:axId val="71429504"/>
        <c:scaling>
          <c:orientation val="minMax"/>
        </c:scaling>
        <c:axPos val="b"/>
        <c:majorGridlines/>
        <c:title>
          <c:tx>
            <c:rich>
              <a:bodyPr/>
              <a:lstStyle/>
              <a:p>
                <a:pPr>
                  <a:defRPr/>
                </a:pPr>
                <a:r>
                  <a:rPr lang="ar-SA"/>
                  <a:t>السنة</a:t>
                </a:r>
              </a:p>
            </c:rich>
          </c:tx>
          <c:layout>
            <c:manualLayout>
              <c:xMode val="edge"/>
              <c:yMode val="edge"/>
              <c:x val="0.44067796610169491"/>
              <c:y val="0.85618729096989965"/>
            </c:manualLayout>
          </c:layout>
        </c:title>
        <c:numFmt formatCode="General" sourceLinked="1"/>
        <c:tickLblPos val="nextTo"/>
        <c:txPr>
          <a:bodyPr rot="0" vert="horz"/>
          <a:lstStyle/>
          <a:p>
            <a:pPr>
              <a:defRPr/>
            </a:pPr>
            <a:endParaRPr lang="ar-SA"/>
          </a:p>
        </c:txPr>
        <c:crossAx val="71304704"/>
        <c:crosses val="autoZero"/>
        <c:auto val="1"/>
        <c:lblAlgn val="ctr"/>
        <c:lblOffset val="100"/>
        <c:tickLblSkip val="1"/>
        <c:tickMarkSkip val="1"/>
      </c:catAx>
      <c:valAx>
        <c:axId val="71304704"/>
        <c:scaling>
          <c:orientation val="minMax"/>
        </c:scaling>
        <c:axPos val="l"/>
        <c:majorGridlines/>
        <c:title>
          <c:tx>
            <c:rich>
              <a:bodyPr/>
              <a:lstStyle/>
              <a:p>
                <a:pPr>
                  <a:defRPr/>
                </a:pPr>
                <a:r>
                  <a:rPr lang="ar-SA"/>
                  <a:t>معدل البطالة</a:t>
                </a:r>
              </a:p>
            </c:rich>
          </c:tx>
          <c:layout>
            <c:manualLayout>
              <c:xMode val="edge"/>
              <c:yMode val="edge"/>
              <c:x val="3.3898305084745811E-2"/>
              <c:y val="0.32775919732443504"/>
            </c:manualLayout>
          </c:layout>
        </c:title>
        <c:numFmt formatCode="General" sourceLinked="1"/>
        <c:tickLblPos val="nextTo"/>
        <c:txPr>
          <a:bodyPr rot="0" vert="horz"/>
          <a:lstStyle/>
          <a:p>
            <a:pPr>
              <a:defRPr/>
            </a:pPr>
            <a:endParaRPr lang="ar-SA"/>
          </a:p>
        </c:txPr>
        <c:crossAx val="71429504"/>
        <c:crosses val="autoZero"/>
        <c:crossBetween val="between"/>
      </c:valAx>
    </c:plotArea>
    <c:legend>
      <c:legendPos val="b"/>
      <c:layout>
        <c:manualLayout>
          <c:xMode val="edge"/>
          <c:yMode val="edge"/>
          <c:x val="0.16313559322033888"/>
          <c:y val="0.92307692307692257"/>
          <c:w val="0.61016949152542665"/>
          <c:h val="7.3578595317725759E-2"/>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346599671150141"/>
          <c:y val="5.1378446115288232E-2"/>
          <c:w val="0.80447807837249963"/>
          <c:h val="0.67049362072984164"/>
        </c:manualLayout>
      </c:layout>
      <c:lineChart>
        <c:grouping val="standard"/>
        <c:ser>
          <c:idx val="0"/>
          <c:order val="0"/>
          <c:tx>
            <c:strRef>
              <c:f>Sheet3!$D$4</c:f>
              <c:strCache>
                <c:ptCount val="1"/>
                <c:pt idx="0">
                  <c:v>الاجر الاسمي</c:v>
                </c:pt>
              </c:strCache>
            </c:strRef>
          </c:tx>
          <c:marker>
            <c:symbol val="none"/>
          </c:marker>
          <c:dLbls>
            <c:dLbl>
              <c:idx val="7"/>
              <c:layout>
                <c:manualLayout>
                  <c:x val="-5.7259713701431493E-2"/>
                  <c:y val="-1.9323671497585525E-2"/>
                </c:manualLayout>
              </c:layout>
              <c:showVal val="1"/>
            </c:dLbl>
            <c:delete val="1"/>
          </c:dLbls>
          <c:cat>
            <c:numRef>
              <c:f>Sheet3!$C$5:$C$12</c:f>
              <c:numCache>
                <c:formatCode>General</c:formatCode>
                <c:ptCount val="8"/>
                <c:pt idx="0">
                  <c:v>2004</c:v>
                </c:pt>
                <c:pt idx="1">
                  <c:v>2005</c:v>
                </c:pt>
                <c:pt idx="2">
                  <c:v>2006</c:v>
                </c:pt>
                <c:pt idx="3">
                  <c:v>2007</c:v>
                </c:pt>
                <c:pt idx="4">
                  <c:v>2008</c:v>
                </c:pt>
                <c:pt idx="5">
                  <c:v>2009</c:v>
                </c:pt>
                <c:pt idx="6">
                  <c:v>2010</c:v>
                </c:pt>
                <c:pt idx="7">
                  <c:v>2011</c:v>
                </c:pt>
              </c:numCache>
            </c:numRef>
          </c:cat>
          <c:val>
            <c:numRef>
              <c:f>Sheet3!$D$5:$D$12</c:f>
              <c:numCache>
                <c:formatCode>0.0</c:formatCode>
                <c:ptCount val="8"/>
                <c:pt idx="0">
                  <c:v>73.8</c:v>
                </c:pt>
                <c:pt idx="1">
                  <c:v>77</c:v>
                </c:pt>
                <c:pt idx="2">
                  <c:v>81.5</c:v>
                </c:pt>
                <c:pt idx="3">
                  <c:v>81.900000000000006</c:v>
                </c:pt>
                <c:pt idx="4">
                  <c:v>87</c:v>
                </c:pt>
                <c:pt idx="5">
                  <c:v>91.3</c:v>
                </c:pt>
                <c:pt idx="6">
                  <c:v>91.7</c:v>
                </c:pt>
                <c:pt idx="7">
                  <c:v>91.7</c:v>
                </c:pt>
              </c:numCache>
            </c:numRef>
          </c:val>
        </c:ser>
        <c:ser>
          <c:idx val="1"/>
          <c:order val="1"/>
          <c:tx>
            <c:strRef>
              <c:f>Sheet3!$E$4</c:f>
              <c:strCache>
                <c:ptCount val="1"/>
                <c:pt idx="0">
                  <c:v>الاجر الحقيقي</c:v>
                </c:pt>
              </c:strCache>
            </c:strRef>
          </c:tx>
          <c:spPr>
            <a:ln>
              <a:prstDash val="sysDot"/>
            </a:ln>
          </c:spPr>
          <c:marker>
            <c:symbol val="none"/>
          </c:marker>
          <c:dLbls>
            <c:dLbl>
              <c:idx val="0"/>
              <c:showVal val="1"/>
            </c:dLbl>
            <c:dLbl>
              <c:idx val="7"/>
              <c:layout>
                <c:manualLayout>
                  <c:x val="-5.1806407634629133E-2"/>
                  <c:y val="-3.3816425120772903E-2"/>
                </c:manualLayout>
              </c:layout>
              <c:showVal val="1"/>
            </c:dLbl>
            <c:delete val="1"/>
          </c:dLbls>
          <c:cat>
            <c:numRef>
              <c:f>Sheet3!$C$5:$C$12</c:f>
              <c:numCache>
                <c:formatCode>General</c:formatCode>
                <c:ptCount val="8"/>
                <c:pt idx="0">
                  <c:v>2004</c:v>
                </c:pt>
                <c:pt idx="1">
                  <c:v>2005</c:v>
                </c:pt>
                <c:pt idx="2">
                  <c:v>2006</c:v>
                </c:pt>
                <c:pt idx="3">
                  <c:v>2007</c:v>
                </c:pt>
                <c:pt idx="4">
                  <c:v>2008</c:v>
                </c:pt>
                <c:pt idx="5">
                  <c:v>2009</c:v>
                </c:pt>
                <c:pt idx="6">
                  <c:v>2010</c:v>
                </c:pt>
                <c:pt idx="7">
                  <c:v>2011</c:v>
                </c:pt>
              </c:numCache>
            </c:numRef>
          </c:cat>
          <c:val>
            <c:numRef>
              <c:f>Sheet3!$E$5:$E$12</c:f>
              <c:numCache>
                <c:formatCode>0.0</c:formatCode>
                <c:ptCount val="8"/>
                <c:pt idx="0">
                  <c:v>73.8</c:v>
                </c:pt>
                <c:pt idx="1">
                  <c:v>73.960234367495914</c:v>
                </c:pt>
                <c:pt idx="2">
                  <c:v>75.386180741837023</c:v>
                </c:pt>
                <c:pt idx="3">
                  <c:v>74.373410824550277</c:v>
                </c:pt>
                <c:pt idx="4">
                  <c:v>71.894884720271065</c:v>
                </c:pt>
                <c:pt idx="5">
                  <c:v>73.427698246742807</c:v>
                </c:pt>
                <c:pt idx="6">
                  <c:v>71.085271317824379</c:v>
                </c:pt>
                <c:pt idx="7">
                  <c:v>69.099999999999994</c:v>
                </c:pt>
              </c:numCache>
            </c:numRef>
          </c:val>
        </c:ser>
        <c:marker val="1"/>
        <c:axId val="71346816"/>
        <c:axId val="71357184"/>
      </c:lineChart>
      <c:catAx>
        <c:axId val="71346816"/>
        <c:scaling>
          <c:orientation val="minMax"/>
        </c:scaling>
        <c:axPos val="b"/>
        <c:majorGridlines/>
        <c:title>
          <c:tx>
            <c:rich>
              <a:bodyPr/>
              <a:lstStyle/>
              <a:p>
                <a:pPr>
                  <a:defRPr/>
                </a:pPr>
                <a:r>
                  <a:rPr lang="ar-SA"/>
                  <a:t>السنة</a:t>
                </a:r>
              </a:p>
            </c:rich>
          </c:tx>
          <c:layout>
            <c:manualLayout>
              <c:xMode val="edge"/>
              <c:yMode val="edge"/>
              <c:x val="0.49260453352422151"/>
              <c:y val="0.81409621094660467"/>
            </c:manualLayout>
          </c:layout>
        </c:title>
        <c:numFmt formatCode="General" sourceLinked="1"/>
        <c:tickLblPos val="nextTo"/>
        <c:txPr>
          <a:bodyPr rot="0" vert="horz"/>
          <a:lstStyle/>
          <a:p>
            <a:pPr>
              <a:defRPr/>
            </a:pPr>
            <a:endParaRPr lang="ar-SA"/>
          </a:p>
        </c:txPr>
        <c:crossAx val="71357184"/>
        <c:crosses val="autoZero"/>
        <c:auto val="1"/>
        <c:lblAlgn val="ctr"/>
        <c:lblOffset val="100"/>
        <c:tickLblSkip val="1"/>
        <c:tickMarkSkip val="1"/>
      </c:catAx>
      <c:valAx>
        <c:axId val="71357184"/>
        <c:scaling>
          <c:orientation val="minMax"/>
          <c:max val="100"/>
          <c:min val="50"/>
        </c:scaling>
        <c:axPos val="l"/>
        <c:majorGridlines/>
        <c:title>
          <c:tx>
            <c:rich>
              <a:bodyPr/>
              <a:lstStyle/>
              <a:p>
                <a:pPr>
                  <a:defRPr/>
                </a:pPr>
                <a:r>
                  <a:rPr lang="ar-SA"/>
                  <a:t>معدل الاجر</a:t>
                </a:r>
                <a:r>
                  <a:rPr lang="en-US"/>
                  <a:t> </a:t>
                </a:r>
                <a:r>
                  <a:rPr lang="ar-SA"/>
                  <a:t>اليومي</a:t>
                </a:r>
              </a:p>
            </c:rich>
          </c:tx>
          <c:layout>
            <c:manualLayout>
              <c:xMode val="edge"/>
              <c:yMode val="edge"/>
              <c:x val="2.2277234800902816E-2"/>
              <c:y val="0.27067684107054513"/>
            </c:manualLayout>
          </c:layout>
        </c:title>
        <c:numFmt formatCode="0" sourceLinked="0"/>
        <c:tickLblPos val="nextTo"/>
        <c:txPr>
          <a:bodyPr rot="0" vert="horz"/>
          <a:lstStyle/>
          <a:p>
            <a:pPr>
              <a:defRPr/>
            </a:pPr>
            <a:endParaRPr lang="ar-SA"/>
          </a:p>
        </c:txPr>
        <c:crossAx val="71346816"/>
        <c:crosses val="autoZero"/>
        <c:crossBetween val="between"/>
        <c:majorUnit val="10"/>
      </c:valAx>
    </c:plotArea>
    <c:legend>
      <c:legendPos val="b"/>
      <c:layout>
        <c:manualLayout>
          <c:xMode val="edge"/>
          <c:yMode val="edge"/>
          <c:x val="0.26780793319416862"/>
          <c:y val="0.88330471848913661"/>
          <c:w val="0.4708306346884093"/>
          <c:h val="0.10408896256388966"/>
        </c:manualLayout>
      </c:layout>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8045112781954886"/>
          <c:y val="0.13414634146341844"/>
          <c:w val="0.80075187969925365"/>
          <c:h val="0.62500000000001465"/>
        </c:manualLayout>
      </c:layout>
      <c:lineChart>
        <c:grouping val="standard"/>
        <c:ser>
          <c:idx val="0"/>
          <c:order val="0"/>
          <c:tx>
            <c:strRef>
              <c:f>Sheet3!$C$32</c:f>
              <c:strCache>
                <c:ptCount val="1"/>
                <c:pt idx="0">
                  <c:v>الانتاجية</c:v>
                </c:pt>
              </c:strCache>
            </c:strRef>
          </c:tx>
          <c:marker>
            <c:symbol val="none"/>
          </c:marker>
          <c:dLbls>
            <c:dLbl>
              <c:idx val="0"/>
              <c:layout>
                <c:manualLayout>
                  <c:x val="-4.6740467404674052E-2"/>
                  <c:y val="-3.5502958579881658E-2"/>
                </c:manualLayout>
              </c:layout>
              <c:showVal val="1"/>
            </c:dLbl>
            <c:dLbl>
              <c:idx val="1"/>
              <c:delete val="1"/>
            </c:dLbl>
            <c:dLbl>
              <c:idx val="2"/>
              <c:delete val="1"/>
            </c:dLbl>
            <c:dLbl>
              <c:idx val="3"/>
              <c:delete val="1"/>
            </c:dLbl>
            <c:dLbl>
              <c:idx val="4"/>
              <c:delete val="1"/>
            </c:dLbl>
            <c:dLbl>
              <c:idx val="5"/>
              <c:delete val="1"/>
            </c:dLbl>
            <c:dLbl>
              <c:idx val="6"/>
              <c:delete val="1"/>
            </c:dLbl>
            <c:dLbl>
              <c:idx val="7"/>
              <c:layout>
                <c:manualLayout>
                  <c:x val="-3.6900369003690051E-2"/>
                  <c:y val="-7.4950690335308295E-2"/>
                </c:manualLayout>
              </c:layout>
              <c:showVal val="1"/>
            </c:dLbl>
            <c:showVal val="1"/>
          </c:dLbls>
          <c:cat>
            <c:numRef>
              <c:f>Sheet3!$B$33:$B$40</c:f>
              <c:numCache>
                <c:formatCode>General</c:formatCode>
                <c:ptCount val="8"/>
                <c:pt idx="0">
                  <c:v>2004</c:v>
                </c:pt>
                <c:pt idx="1">
                  <c:v>2005</c:v>
                </c:pt>
                <c:pt idx="2">
                  <c:v>2006</c:v>
                </c:pt>
                <c:pt idx="3">
                  <c:v>2007</c:v>
                </c:pt>
                <c:pt idx="4">
                  <c:v>2008</c:v>
                </c:pt>
                <c:pt idx="5">
                  <c:v>2009</c:v>
                </c:pt>
                <c:pt idx="6">
                  <c:v>2010</c:v>
                </c:pt>
                <c:pt idx="7">
                  <c:v>2011</c:v>
                </c:pt>
              </c:numCache>
            </c:numRef>
          </c:cat>
          <c:val>
            <c:numRef>
              <c:f>Sheet3!$C$33:$C$40</c:f>
              <c:numCache>
                <c:formatCode>#,##0.0</c:formatCode>
                <c:ptCount val="8"/>
                <c:pt idx="0">
                  <c:v>8293.1</c:v>
                </c:pt>
                <c:pt idx="1">
                  <c:v>8332.2999999999811</c:v>
                </c:pt>
                <c:pt idx="2">
                  <c:v>7437.3</c:v>
                </c:pt>
                <c:pt idx="3">
                  <c:v>7239.9</c:v>
                </c:pt>
                <c:pt idx="4">
                  <c:v>8560.7999999999811</c:v>
                </c:pt>
                <c:pt idx="5">
                  <c:v>8519.2000000000007</c:v>
                </c:pt>
                <c:pt idx="6">
                  <c:v>8925.4</c:v>
                </c:pt>
                <c:pt idx="7">
                  <c:v>8578.6</c:v>
                </c:pt>
              </c:numCache>
            </c:numRef>
          </c:val>
        </c:ser>
        <c:marker val="1"/>
        <c:axId val="72762112"/>
        <c:axId val="72764032"/>
      </c:lineChart>
      <c:catAx>
        <c:axId val="72762112"/>
        <c:scaling>
          <c:orientation val="minMax"/>
        </c:scaling>
        <c:axPos val="b"/>
        <c:majorGridlines/>
        <c:title>
          <c:tx>
            <c:rich>
              <a:bodyPr/>
              <a:lstStyle/>
              <a:p>
                <a:pPr>
                  <a:defRPr/>
                </a:pPr>
                <a:r>
                  <a:rPr lang="ar-SA"/>
                  <a:t>السنة</a:t>
                </a:r>
              </a:p>
            </c:rich>
          </c:tx>
          <c:layout>
            <c:manualLayout>
              <c:xMode val="edge"/>
              <c:yMode val="edge"/>
              <c:x val="0.48188415241198296"/>
              <c:y val="0.8511449922263169"/>
            </c:manualLayout>
          </c:layout>
        </c:title>
        <c:numFmt formatCode="General" sourceLinked="1"/>
        <c:tickLblPos val="nextTo"/>
        <c:txPr>
          <a:bodyPr rot="0" vert="horz"/>
          <a:lstStyle/>
          <a:p>
            <a:pPr>
              <a:defRPr/>
            </a:pPr>
            <a:endParaRPr lang="ar-SA"/>
          </a:p>
        </c:txPr>
        <c:crossAx val="72764032"/>
        <c:crosses val="autoZero"/>
        <c:auto val="1"/>
        <c:lblAlgn val="ctr"/>
        <c:lblOffset val="100"/>
        <c:tickLblSkip val="1"/>
        <c:tickMarkSkip val="1"/>
      </c:catAx>
      <c:valAx>
        <c:axId val="72764032"/>
        <c:scaling>
          <c:orientation val="minMax"/>
          <c:max val="10000"/>
          <c:min val="5000"/>
        </c:scaling>
        <c:axPos val="l"/>
        <c:majorGridlines/>
        <c:title>
          <c:tx>
            <c:rich>
              <a:bodyPr/>
              <a:lstStyle/>
              <a:p>
                <a:pPr>
                  <a:defRPr/>
                </a:pPr>
                <a:r>
                  <a:rPr lang="ar-SA"/>
                  <a:t>معدل الانتاجية العامل
</a:t>
                </a:r>
              </a:p>
            </c:rich>
          </c:tx>
          <c:layout>
            <c:manualLayout>
              <c:xMode val="edge"/>
              <c:yMode val="edge"/>
              <c:x val="1.5037593984962405E-2"/>
              <c:y val="0.34146341463414637"/>
            </c:manualLayout>
          </c:layout>
        </c:title>
        <c:numFmt formatCode="#,##0" sourceLinked="0"/>
        <c:tickLblPos val="nextTo"/>
        <c:txPr>
          <a:bodyPr rot="0" vert="horz"/>
          <a:lstStyle/>
          <a:p>
            <a:pPr>
              <a:defRPr/>
            </a:pPr>
            <a:endParaRPr lang="ar-SA"/>
          </a:p>
        </c:txPr>
        <c:crossAx val="72762112"/>
        <c:crosses val="autoZero"/>
        <c:crossBetween val="between"/>
        <c:majorUnit val="1000"/>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tx>
            <c:strRef>
              <c:f>Sheet1!$G$15</c:f>
              <c:strCache>
                <c:ptCount val="1"/>
                <c:pt idx="0">
                  <c:v>172,900</c:v>
                </c:pt>
              </c:strCache>
            </c:strRef>
          </c:tx>
          <c:dLbls>
            <c:dLbl>
              <c:idx val="0"/>
              <c:layout>
                <c:manualLayout>
                  <c:x val="1.5388100917352801E-2"/>
                  <c:y val="-0.11440944881889745"/>
                </c:manualLayout>
              </c:layout>
              <c:showCatName val="1"/>
              <c:showPercent val="1"/>
            </c:dLbl>
            <c:dLbl>
              <c:idx val="1"/>
              <c:layout>
                <c:manualLayout>
                  <c:x val="-1.1616951789821081E-3"/>
                  <c:y val="-0.1100274397518492"/>
                </c:manualLayout>
              </c:layout>
              <c:showCatName val="1"/>
              <c:showPercent val="1"/>
            </c:dLbl>
            <c:dLbl>
              <c:idx val="2"/>
              <c:layout>
                <c:manualLayout>
                  <c:x val="-1.4923637900965481E-3"/>
                  <c:y val="0.11136661315393828"/>
                </c:manualLayout>
              </c:layout>
              <c:showCatName val="1"/>
              <c:showPercent val="1"/>
            </c:dLbl>
            <c:dLbl>
              <c:idx val="3"/>
              <c:layout>
                <c:manualLayout>
                  <c:x val="3.0388944670506811E-2"/>
                  <c:y val="9.1077644420660991E-2"/>
                </c:manualLayout>
              </c:layout>
              <c:showCatName val="1"/>
              <c:showPercent val="1"/>
            </c:dLbl>
            <c:dLbl>
              <c:idx val="5"/>
              <c:layout>
                <c:manualLayout>
                  <c:x val="5.4645498302940153E-2"/>
                  <c:y val="-0.15646921975663142"/>
                </c:manualLayout>
              </c:layout>
              <c:showCatName val="1"/>
              <c:showPercent val="1"/>
            </c:dLbl>
            <c:numFmt formatCode="0%" sourceLinked="0"/>
            <c:txPr>
              <a:bodyPr/>
              <a:lstStyle/>
              <a:p>
                <a:pPr>
                  <a:defRPr sz="900"/>
                </a:pPr>
                <a:endParaRPr lang="ar-SA"/>
              </a:p>
            </c:txPr>
            <c:showCatName val="1"/>
            <c:showPercent val="1"/>
            <c:showLeaderLines val="1"/>
          </c:dLbls>
          <c:cat>
            <c:strRef>
              <c:f>Sheet1!$H$10:$H$15</c:f>
              <c:strCache>
                <c:ptCount val="6"/>
                <c:pt idx="0">
                  <c:v>الزراعة </c:v>
                </c:pt>
                <c:pt idx="1">
                  <c:v>الصناعة </c:v>
                </c:pt>
                <c:pt idx="2">
                  <c:v>البناء والتشييد</c:v>
                </c:pt>
                <c:pt idx="3">
                  <c:v>التجارة والفنادق</c:v>
                </c:pt>
                <c:pt idx="4">
                  <c:v>النقل والاتصالات</c:v>
                </c:pt>
                <c:pt idx="5">
                  <c:v>الخدمات</c:v>
                </c:pt>
              </c:strCache>
            </c:strRef>
          </c:cat>
          <c:val>
            <c:numRef>
              <c:f>Sheet1!$G$10:$G$15</c:f>
              <c:numCache>
                <c:formatCode>#,##0</c:formatCode>
                <c:ptCount val="6"/>
                <c:pt idx="0">
                  <c:v>76000</c:v>
                </c:pt>
                <c:pt idx="1">
                  <c:v>85200</c:v>
                </c:pt>
                <c:pt idx="2">
                  <c:v>101700</c:v>
                </c:pt>
                <c:pt idx="3">
                  <c:v>125200</c:v>
                </c:pt>
                <c:pt idx="4">
                  <c:v>32800</c:v>
                </c:pt>
                <c:pt idx="5">
                  <c:v>172900</c:v>
                </c:pt>
              </c:numCache>
            </c:numRef>
          </c:val>
        </c:ser>
        <c:dLbls>
          <c:showCatName val="1"/>
          <c:showPercent val="1"/>
        </c:dLbls>
      </c:pie3DChart>
    </c:plotArea>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pie3DChart>
        <c:varyColors val="1"/>
        <c:ser>
          <c:idx val="0"/>
          <c:order val="0"/>
          <c:dLbls>
            <c:dLbl>
              <c:idx val="0"/>
              <c:layout>
                <c:manualLayout>
                  <c:x val="-9.9304263704197246E-2"/>
                  <c:y val="-5.3717671256009417E-2"/>
                </c:manualLayout>
              </c:layout>
              <c:showCatName val="1"/>
              <c:showPercent val="1"/>
            </c:dLbl>
            <c:dLbl>
              <c:idx val="1"/>
              <c:layout>
                <c:manualLayout>
                  <c:x val="-8.6656675468438568E-2"/>
                  <c:y val="-0.15359764239996951"/>
                </c:manualLayout>
              </c:layout>
              <c:showCatName val="1"/>
              <c:showPercent val="1"/>
            </c:dLbl>
            <c:dLbl>
              <c:idx val="2"/>
              <c:layout>
                <c:manualLayout>
                  <c:x val="0"/>
                  <c:y val="-0.16428358735859772"/>
                </c:manualLayout>
              </c:layout>
              <c:showCatName val="1"/>
              <c:showPercent val="1"/>
            </c:dLbl>
            <c:dLbl>
              <c:idx val="3"/>
              <c:layout>
                <c:manualLayout>
                  <c:x val="-1.3618927004753785E-4"/>
                  <c:y val="0.22716263915286491"/>
                </c:manualLayout>
              </c:layout>
              <c:showCatName val="1"/>
              <c:showPercent val="1"/>
            </c:dLbl>
            <c:dLbl>
              <c:idx val="4"/>
              <c:layout>
                <c:manualLayout>
                  <c:x val="-0.20928738006110692"/>
                  <c:y val="0.10034146217159748"/>
                </c:manualLayout>
              </c:layout>
              <c:showCatName val="1"/>
              <c:showPercent val="1"/>
            </c:dLbl>
            <c:dLbl>
              <c:idx val="5"/>
              <c:layout>
                <c:manualLayout>
                  <c:x val="3.0310435333514345E-2"/>
                  <c:y val="0.25465457168731132"/>
                </c:manualLayout>
              </c:layout>
              <c:showCatName val="1"/>
              <c:showPercent val="1"/>
            </c:dLbl>
            <c:numFmt formatCode="0%" sourceLinked="0"/>
            <c:txPr>
              <a:bodyPr/>
              <a:lstStyle/>
              <a:p>
                <a:pPr>
                  <a:defRPr sz="900"/>
                </a:pPr>
                <a:endParaRPr lang="ar-SA"/>
              </a:p>
            </c:txPr>
            <c:showCatName val="1"/>
            <c:showPercent val="1"/>
            <c:showLeaderLines val="1"/>
          </c:dLbls>
          <c:cat>
            <c:strRef>
              <c:f>Sheet1!$H$19:$H$24</c:f>
              <c:strCache>
                <c:ptCount val="6"/>
                <c:pt idx="0">
                  <c:v>الزراعة </c:v>
                </c:pt>
                <c:pt idx="1">
                  <c:v> الصناعة </c:v>
                </c:pt>
                <c:pt idx="2">
                  <c:v>البناء والتشييد</c:v>
                </c:pt>
                <c:pt idx="3">
                  <c:v>التجارة والفنادق</c:v>
                </c:pt>
                <c:pt idx="4">
                  <c:v>النقل والاتصالات</c:v>
                </c:pt>
                <c:pt idx="5">
                  <c:v>الخدمات </c:v>
                </c:pt>
              </c:strCache>
            </c:strRef>
          </c:cat>
          <c:val>
            <c:numRef>
              <c:f>Sheet1!$G$19:$G$24</c:f>
              <c:numCache>
                <c:formatCode>#,##0</c:formatCode>
                <c:ptCount val="6"/>
                <c:pt idx="0">
                  <c:v>23400</c:v>
                </c:pt>
                <c:pt idx="1">
                  <c:v>13500</c:v>
                </c:pt>
                <c:pt idx="2">
                  <c:v>14500</c:v>
                </c:pt>
                <c:pt idx="3">
                  <c:v>44900</c:v>
                </c:pt>
                <c:pt idx="4">
                  <c:v>18400</c:v>
                </c:pt>
                <c:pt idx="5">
                  <c:v>128900</c:v>
                </c:pt>
              </c:numCache>
            </c:numRef>
          </c:val>
        </c:ser>
        <c:dLbls>
          <c:showCatName val="1"/>
          <c:showPercent val="1"/>
        </c:dLbls>
      </c:pie3DChart>
    </c:plotArea>
    <c:plotVisOnly val="1"/>
    <c:dispBlanksAs val="zero"/>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71A27-9408-4FEE-8F32-035F7B44E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5319</Words>
  <Characters>30320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الفصل الثاني</vt:lpstr>
    </vt:vector>
  </TitlesOfParts>
  <Company>Hewlett-Packard</Company>
  <LinksUpToDate>false</LinksUpToDate>
  <CharactersWithSpaces>35568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creator>mqlalwah</dc:creator>
  <cp:lastModifiedBy>mqlalwah</cp:lastModifiedBy>
  <cp:revision>10</cp:revision>
  <cp:lastPrinted>2012-05-13T11:10:00Z</cp:lastPrinted>
  <dcterms:created xsi:type="dcterms:W3CDTF">2012-05-14T05:34:00Z</dcterms:created>
  <dcterms:modified xsi:type="dcterms:W3CDTF">2012-05-14T09:44:00Z</dcterms:modified>
</cp:coreProperties>
</file>